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96"/>
      </w:tblGrid>
      <w:tr>
        <w:trPr>
          <w:jc w:val="center"/>
          <w:trHeight w:val="764" w:hRule="atLeast"/>
        </w:trPr>
        <w:tc>
          <w:tcPr>
            <w:tcW w:w="9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hd w:val="clear" w:color="auto" w:fill="D9D9D9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</w:pPr>
            <w:bookmarkStart w:id="1" w:name="_Hlk66104360"/>
            <w:bookmarkEnd w:id="1"/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>‘</w:t>
            </w:r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>건이강이</w:t>
            </w:r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 xml:space="preserve"> 스케일업(Scale-Up) </w:t>
            </w:r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>액셀러레이팅</w:t>
            </w:r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 xml:space="preserve"> 프로그램’ </w:t>
            </w:r>
          </w:p>
          <w:p>
            <w:pPr>
              <w:wordWrap/>
              <w:jc w:val="center"/>
              <w:shd w:val="clear" w:color="auto" w:fill="D9D9D9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sz w:val="40"/>
                <w:szCs w:val="40"/>
                <w:kern w:val="0"/>
              </w:rPr>
            </w:pPr>
            <w:r>
              <w:rPr>
                <w:rFonts w:asciiTheme="majorHAnsi" w:eastAsiaTheme="majorHAnsi" w:hAnsiTheme="majorHAnsi" w:cs="굴림"/>
                <w:b/>
                <w:bCs/>
                <w:sz w:val="32"/>
                <w:szCs w:val="32"/>
                <w:kern w:val="0"/>
              </w:rPr>
              <w:t>세부 공모 요강</w:t>
            </w:r>
          </w:p>
        </w:tc>
      </w:tr>
    </w:tbl>
    <w:p>
      <w:pPr>
        <w:wordWrap/>
        <w:spacing w:after="0" w:line="240" w:lineRule="auto"/>
        <w:textAlignment w:val="baseline"/>
        <w:rPr>
          <w:rFonts w:eastAsiaTheme="minorHAnsi" w:cs="굴림"/>
          <w:b/>
          <w:bCs/>
          <w:szCs w:val="20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8241" allowOverlap="1" hidden="0">
                <wp:simplePos x="0" y="0"/>
                <wp:positionH relativeFrom="margin">
                  <wp:posOffset>0</wp:posOffset>
                </wp:positionH>
                <wp:positionV relativeFrom="line">
                  <wp:posOffset>219075</wp:posOffset>
                </wp:positionV>
                <wp:extent cx="5795999" cy="28800"/>
                <wp:effectExtent l="0" t="0" r="0" b="0"/>
                <wp:wrapTopAndBottom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5999" cy="28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64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0pt;margin-top:17.25pt;width:456.378pt;height:2.26772pt;mso-position-horizontal-relative:margin;mso-position-vertical-relative:line;v-text-anchor:top;mso-wrap-style:square;z-index:251658241" o:allowincell="t" filled="t" fillcolor="#a6a6a6" stroked="f">
                <w10:wrap type="topAndBottom"/>
                <v:stroke joinstyle="round"/>
              </v:rect>
            </w:pict>
          </mc:Fallback>
        </mc:AlternateContent>
      </w:r>
    </w:p>
    <w:p>
      <w:pPr>
        <w:pStyle w:val="a3"/>
        <w:spacing w:line="312" w:lineRule="auto"/>
        <w:rPr>
          <w:color w:val="auto"/>
        </w:rPr>
      </w:pPr>
      <w:bookmarkStart w:id="2" w:name="_top"/>
      <w:bookmarkEnd w:id="2"/>
      <w:r>
        <w:rPr>
          <w:rFonts w:ascii="맑은 고딕" w:eastAsia="맑은 고딕" w:hAnsi="맑은 고딕" w:hint="eastAsia"/>
          <w:b/>
          <w:bCs/>
          <w:color w:val="auto"/>
          <w:sz w:val="23"/>
          <w:szCs w:val="23"/>
        </w:rPr>
        <w:t xml:space="preserve">국민건강보험공단 </w:t>
      </w:r>
      <w:r>
        <w:rPr>
          <w:rFonts w:ascii="맑은 고딕" w:eastAsia="맑은 고딕" w:hAnsi="맑은 고딕"/>
          <w:b/>
          <w:bCs/>
          <w:color w:val="auto"/>
          <w:sz w:val="23"/>
          <w:szCs w:val="23"/>
        </w:rPr>
        <w:t xml:space="preserve">X </w:t>
      </w:r>
      <w:r>
        <w:rPr>
          <w:rFonts w:ascii="맑은 고딕" w:eastAsia="맑은 고딕" w:hAnsi="맑은 고딕" w:hint="eastAsia"/>
          <w:b/>
          <w:bCs/>
          <w:color w:val="auto"/>
          <w:sz w:val="23"/>
          <w:szCs w:val="23"/>
        </w:rPr>
        <w:t xml:space="preserve">한국사회복지협의회 </w:t>
      </w:r>
      <w:r>
        <w:rPr>
          <w:rFonts w:ascii="맑은 고딕" w:eastAsia="맑은 고딕" w:hAnsi="맑은 고딕"/>
          <w:b/>
          <w:bCs/>
          <w:color w:val="auto"/>
          <w:sz w:val="23"/>
          <w:szCs w:val="23"/>
        </w:rPr>
        <w:t xml:space="preserve">X </w:t>
      </w:r>
      <w:r>
        <w:rPr>
          <w:rFonts w:ascii="맑은 고딕" w:eastAsia="맑은 고딕" w:hAnsi="맑은 고딕" w:hint="eastAsia"/>
          <w:b/>
          <w:bCs/>
          <w:color w:val="auto"/>
          <w:sz w:val="23"/>
          <w:szCs w:val="23"/>
        </w:rPr>
        <w:t>한국사회투자</w:t>
      </w:r>
    </w:p>
    <w:p>
      <w:pPr>
        <w:pStyle w:val="a3"/>
        <w:spacing w:line="312" w:lineRule="auto"/>
        <w:rPr>
          <w:color w:val="auto"/>
        </w:rPr>
      </w:pPr>
      <w:r>
        <w:rPr>
          <w:rFonts w:ascii="맑은 고딕" w:eastAsia="맑은 고딕" w:hAnsi="맑은 고딕" w:hint="eastAsia"/>
          <w:b/>
          <w:bCs/>
          <w:color w:val="auto"/>
          <w:sz w:val="36"/>
          <w:szCs w:val="36"/>
        </w:rPr>
        <w:t>건이강이</w:t>
      </w:r>
      <w:r>
        <w:rPr>
          <w:rFonts w:ascii="맑은 고딕" w:eastAsia="맑은 고딕" w:hAnsi="맑은 고딕" w:hint="eastAsia"/>
          <w:b/>
          <w:bCs/>
          <w:color w:val="auto"/>
          <w:sz w:val="36"/>
          <w:szCs w:val="36"/>
        </w:rPr>
        <w:t xml:space="preserve"> 스케일업</w:t>
      </w:r>
      <w:r>
        <w:rPr>
          <w:rFonts w:ascii="맑은 고딕" w:eastAsia="맑은 고딕" w:hAnsi="맑은 고딕"/>
          <w:b/>
          <w:bCs/>
          <w:color w:val="auto"/>
          <w:sz w:val="36"/>
          <w:szCs w:val="36"/>
        </w:rPr>
        <w:t xml:space="preserve">(Scale-Up) </w:t>
      </w:r>
      <w:r>
        <w:rPr>
          <w:rFonts w:ascii="맑은 고딕" w:eastAsia="맑은 고딕" w:hAnsi="맑은 고딕" w:hint="eastAsia"/>
          <w:b/>
          <w:bCs/>
          <w:color w:val="auto"/>
          <w:sz w:val="36"/>
          <w:szCs w:val="36"/>
        </w:rPr>
        <w:t>액셀러레이팅</w:t>
      </w:r>
      <w:r>
        <w:rPr>
          <w:rFonts w:ascii="맑은 고딕" w:eastAsia="맑은 고딕" w:hAnsi="맑은 고딕" w:hint="eastAsia"/>
          <w:b/>
          <w:bCs/>
          <w:color w:val="auto"/>
          <w:sz w:val="36"/>
          <w:szCs w:val="36"/>
        </w:rPr>
        <w:t xml:space="preserve"> 프로그램</w:t>
      </w:r>
    </w:p>
    <w:p>
      <w:pPr>
        <w:pStyle w:val="a3"/>
        <w:spacing w:line="204" w:lineRule="auto"/>
        <w:rPr>
          <w:rFonts w:asciiTheme="majorHAnsi" w:eastAsiaTheme="majorHAnsi" w:hAnsiTheme="majorHAnsi"/>
          <w:b/>
          <w:bCs/>
        </w:rPr>
      </w:pPr>
      <w:r>
        <w:rPr>
          <w:rFonts w:ascii="맑은 고딕" w:eastAsia="맑은 고딕" w:hAnsi="맑은 고딕" w:hint="eastAsia"/>
          <w:b/>
          <w:bCs/>
          <w:color w:val="auto"/>
          <w:sz w:val="25"/>
          <w:szCs w:val="25"/>
        </w:rPr>
        <w:t>보건</w:t>
      </w:r>
      <w:r>
        <w:rPr>
          <w:rFonts w:ascii="MS Gothic" w:eastAsia="MS Gothic" w:hAnsi="MS Gothic" w:cs="MS Gothic" w:hint="eastAsia"/>
          <w:b/>
          <w:bCs/>
          <w:color w:val="auto"/>
          <w:sz w:val="25"/>
          <w:szCs w:val="25"/>
        </w:rPr>
        <w:t>‧</w:t>
      </w:r>
      <w:r>
        <w:rPr>
          <w:rFonts w:ascii="맑은 고딕" w:eastAsia="맑은 고딕" w:hAnsi="맑은 고딕" w:hint="eastAsia"/>
          <w:b/>
          <w:bCs/>
          <w:color w:val="auto"/>
          <w:sz w:val="25"/>
          <w:szCs w:val="25"/>
        </w:rPr>
        <w:t>복지</w:t>
      </w:r>
      <w:r>
        <w:rPr>
          <w:rFonts w:ascii="MS Gothic" w:eastAsia="MS Gothic" w:hAnsi="MS Gothic" w:cs="MS Gothic" w:hint="eastAsia"/>
          <w:b/>
          <w:bCs/>
          <w:color w:val="auto"/>
          <w:sz w:val="25"/>
          <w:szCs w:val="25"/>
        </w:rPr>
        <w:t>‧</w:t>
      </w:r>
      <w:r>
        <w:rPr>
          <w:rFonts w:ascii="맑은 고딕" w:eastAsia="맑은 고딕" w:hAnsi="맑은 고딕" w:cs="맑은 고딕" w:hint="eastAsia"/>
          <w:b/>
          <w:bCs/>
          <w:color w:val="auto"/>
          <w:sz w:val="25"/>
          <w:szCs w:val="25"/>
        </w:rPr>
        <w:t>환경</w:t>
      </w:r>
      <w:r>
        <w:rPr>
          <w:rFonts w:ascii="맑은 고딕" w:eastAsia="맑은 고딕" w:hAnsi="맑은 고딕" w:hint="eastAsia"/>
          <w:b/>
          <w:bCs/>
          <w:color w:val="auto"/>
          <w:sz w:val="25"/>
          <w:szCs w:val="25"/>
        </w:rPr>
        <w:t xml:space="preserve"> 분야 사회적경제조직 비즈니스 스케일업(</w:t>
      </w:r>
      <w:r>
        <w:rPr>
          <w:rFonts w:ascii="맑은 고딕" w:eastAsia="맑은 고딕" w:hAnsi="맑은 고딕"/>
          <w:b/>
          <w:bCs/>
          <w:color w:val="auto"/>
          <w:sz w:val="25"/>
          <w:szCs w:val="25"/>
        </w:rPr>
        <w:t xml:space="preserve">Scale-Up) </w:t>
      </w:r>
      <w:r>
        <w:rPr>
          <w:rFonts w:ascii="맑은 고딕" w:eastAsia="맑은 고딕" w:hAnsi="맑은 고딕" w:hint="eastAsia"/>
          <w:b/>
          <w:bCs/>
          <w:color w:val="auto"/>
          <w:sz w:val="25"/>
          <w:szCs w:val="25"/>
        </w:rPr>
        <w:t>프로그램</w:t>
      </w:r>
    </w:p>
    <w:p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sz w:val="12"/>
          <w:szCs w:val="12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column">
                  <wp:posOffset>-13335</wp:posOffset>
                </wp:positionH>
                <wp:positionV relativeFrom="paragraph">
                  <wp:posOffset>102535</wp:posOffset>
                </wp:positionV>
                <wp:extent cx="5795999" cy="28800"/>
                <wp:effectExtent l="0" t="0" r="0" b="0"/>
                <wp:wrapTopAndBottom/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5999" cy="28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64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style="position:absolute;margin-left:-1.05pt;margin-top:8.07362pt;width:456.378pt;height:2.26772pt;mso-position-horizontal-relative:column;mso-position-vertical-relative:line;v-text-anchor:top;mso-wrap-style:square;z-index:251658240" o:allowincell="t" filled="t" fillcolor="#a6a6a6" stroked="f">
                <w10:wrap type="topAndBottom"/>
                <v:stroke joinstyle="round"/>
              </v:rect>
            </w:pict>
          </mc:Fallback>
        </mc:AlternateContent>
      </w:r>
    </w:p>
    <w:p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</w:pP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□ ‘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건이강이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 xml:space="preserve"> 스케일업(Scale-Up) 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액셀러레이팅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 xml:space="preserve"> 프로그램’ 소개</w:t>
      </w:r>
    </w:p>
    <w:p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sz w:val="10"/>
          <w:szCs w:val="10"/>
          <w:kern w:val="0"/>
        </w:rPr>
      </w:pPr>
    </w:p>
    <w:p>
      <w:pPr>
        <w:wordWrap/>
        <w:spacing w:after="0"/>
        <w:textAlignment w:val="baseline"/>
        <w:rPr>
          <w:lang/>
          <w:rFonts w:ascii="맑은 고딕" w:eastAsia="맑은 고딕" w:hAnsi="맑은 고딕" w:cs="굴림"/>
          <w:sz w:val="22"/>
          <w:kern w:val="0"/>
          <w:u w:val="none" w:color="auto"/>
          <w:spacing w:val="-20"/>
          <w:rtl w:val="off"/>
        </w:rPr>
      </w:pP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건이강이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 xml:space="preserve"> 스케일업(Scale-Up) 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액셀러레이팅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 xml:space="preserve"> 프로그램은 바이오, 의료기기, 복지, 환경, IT 등 기술기반 혁신솔루션으로 비즈니스 확대와 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소셜임팩트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 xml:space="preserve"> 확장을 계</w:t>
      </w:r>
      <w:r>
        <w:rPr>
          <w:rFonts w:ascii="맑은 고딕" w:eastAsia="맑은 고딕" w:hAnsi="맑은 고딕" w:cs="굴림"/>
          <w:color w:val="000000"/>
          <w:sz w:val="22"/>
          <w:kern w:val="0"/>
          <w:u w:val="none" w:color="auto"/>
          <w:spacing w:val="-20"/>
        </w:rPr>
        <w:t xml:space="preserve">획하는 </w:t>
      </w:r>
      <w:r>
        <w:rPr>
          <w:rFonts w:ascii="맑은 고딕" w:eastAsia="맑은 고딕" w:hAnsi="맑은 고딕" w:cs="굴림"/>
          <w:color w:val="000000"/>
          <w:sz w:val="22"/>
          <w:kern w:val="0"/>
          <w:u w:val="none" w:color="auto"/>
          <w:spacing w:val="-20"/>
        </w:rPr>
        <w:t>보건·복지</w:t>
      </w:r>
      <w:r>
        <w:rPr>
          <w:rFonts w:ascii="맑은 고딕" w:eastAsia="맑은 고딕" w:hAnsi="맑은 고딕" w:cs="굴림"/>
          <w:color w:val="000000"/>
          <w:sz w:val="22"/>
          <w:kern w:val="0"/>
          <w:u w:val="none" w:color="auto"/>
          <w:spacing w:val="-20"/>
        </w:rPr>
        <w:t>·</w:t>
      </w:r>
      <w:r>
        <w:rPr>
          <w:rFonts w:ascii="맑은 고딕" w:eastAsia="맑은 고딕" w:hAnsi="맑은 고딕" w:cs="굴림" w:hint="eastAsia"/>
          <w:color w:val="000000"/>
          <w:sz w:val="22"/>
          <w:kern w:val="0"/>
          <w:u w:val="none" w:color="auto"/>
          <w:spacing w:val="-20"/>
        </w:rPr>
        <w:t>환경</w:t>
      </w:r>
      <w:r>
        <w:rPr>
          <w:rFonts w:ascii="맑은 고딕" w:eastAsia="맑은 고딕" w:hAnsi="맑은 고딕" w:cs="굴림"/>
          <w:color w:val="000000"/>
          <w:sz w:val="22"/>
          <w:kern w:val="0"/>
          <w:u w:val="none" w:color="auto"/>
          <w:spacing w:val="-20"/>
        </w:rPr>
        <w:t xml:space="preserve"> 분야 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사회적경제조직(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소셜벤처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 xml:space="preserve">, 사회적기업 등)을 위한 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>액셀러레이팅</w:t>
      </w:r>
      <w:r>
        <w:rPr>
          <w:rFonts w:ascii="맑은 고딕" w:eastAsia="맑은 고딕" w:hAnsi="맑은 고딕" w:cs="굴림"/>
          <w:sz w:val="22"/>
          <w:kern w:val="0"/>
          <w:u w:val="none" w:color="auto"/>
          <w:spacing w:val="-20"/>
        </w:rPr>
        <w:t xml:space="preserve"> 프로그램입니다.</w:t>
      </w: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12"/>
          <w:szCs w:val="12"/>
          <w:kern w:val="0"/>
        </w:rPr>
      </w:pP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 xml:space="preserve">4차 산업혁명 및 한국판뉴딜(’20.7.)을 통해 보건, 복지, 환경 분야에 기술기반 혁신솔루션의 중요성이 커지고 있습니다. </w:t>
      </w: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12"/>
          <w:szCs w:val="12"/>
          <w:kern w:val="0"/>
        </w:rPr>
      </w:pP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>이러한 시대 변화에 발맞춰 총 4,000만 원(총 8개 팀, 각 500만 원)의 ‘성장지원금’, 16주간의 ‘</w:t>
      </w:r>
      <w:r>
        <w:rPr>
          <w:rFonts w:asciiTheme="majorHAnsi" w:eastAsiaTheme="majorHAnsi" w:hAnsiTheme="majorHAnsi" w:cs="굴림"/>
          <w:sz w:val="22"/>
          <w:kern w:val="0"/>
        </w:rPr>
        <w:t>액셀러레이팅</w:t>
      </w:r>
      <w:r>
        <w:rPr>
          <w:rFonts w:asciiTheme="majorHAnsi" w:eastAsiaTheme="majorHAnsi" w:hAnsiTheme="majorHAnsi" w:cs="굴림"/>
          <w:sz w:val="22"/>
          <w:kern w:val="0"/>
        </w:rPr>
        <w:t>’, 그리고 총 1억 5천만 원의 임팩트투자(Top3, 각 5,000만 원)를 통하여 보건·복지·환경 분야 사회적경제조직(</w:t>
      </w:r>
      <w:r>
        <w:rPr>
          <w:rFonts w:asciiTheme="majorHAnsi" w:eastAsiaTheme="majorHAnsi" w:hAnsiTheme="majorHAnsi" w:cs="굴림"/>
          <w:sz w:val="22"/>
          <w:kern w:val="0"/>
        </w:rPr>
        <w:t>소셜벤처</w:t>
      </w:r>
      <w:r>
        <w:rPr>
          <w:rFonts w:asciiTheme="majorHAnsi" w:eastAsiaTheme="majorHAnsi" w:hAnsiTheme="majorHAnsi" w:cs="굴림"/>
          <w:sz w:val="22"/>
          <w:kern w:val="0"/>
        </w:rPr>
        <w:t>, 사회적기업 등)의 비즈니스 스케일업(Scale-Up)을 지원합니다.</w:t>
      </w: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12"/>
          <w:szCs w:val="12"/>
          <w:kern w:val="0"/>
        </w:rPr>
      </w:pP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 xml:space="preserve">국민보건 향상과 사회보장 증진을 위한 혁신적인 솔루션으로 더 나은 세상을 만드는 비즈니스를 갖고 있다면, </w:t>
      </w:r>
      <w:r>
        <w:rPr>
          <w:rFonts w:asciiTheme="majorHAnsi" w:eastAsiaTheme="majorHAnsi" w:hAnsiTheme="majorHAnsi" w:cs="굴림"/>
          <w:sz w:val="22"/>
          <w:kern w:val="0"/>
        </w:rPr>
        <w:t>건이강이</w:t>
      </w:r>
      <w:r>
        <w:rPr>
          <w:rFonts w:asciiTheme="majorHAnsi" w:eastAsiaTheme="majorHAnsi" w:hAnsiTheme="majorHAnsi" w:cs="굴림"/>
          <w:sz w:val="22"/>
          <w:kern w:val="0"/>
        </w:rPr>
        <w:t xml:space="preserve"> 스케일업(Scale-Up) </w:t>
      </w:r>
      <w:r>
        <w:rPr>
          <w:rFonts w:asciiTheme="majorHAnsi" w:eastAsiaTheme="majorHAnsi" w:hAnsiTheme="majorHAnsi" w:cs="굴림"/>
          <w:sz w:val="22"/>
          <w:kern w:val="0"/>
        </w:rPr>
        <w:t>액셀러레이팅</w:t>
      </w:r>
      <w:r>
        <w:rPr>
          <w:rFonts w:asciiTheme="majorHAnsi" w:eastAsiaTheme="majorHAnsi" w:hAnsiTheme="majorHAnsi" w:cs="굴림"/>
          <w:sz w:val="22"/>
          <w:kern w:val="0"/>
        </w:rPr>
        <w:t xml:space="preserve"> 프로그램에서 당신의 꿈을 키워보세요.</w:t>
      </w: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sz w:val="12"/>
          <w:szCs w:val="12"/>
          <w:kern w:val="0"/>
        </w:rPr>
      </w:pPr>
    </w:p>
    <w:p>
      <w:pPr>
        <w:wordWrap/>
        <w:spacing w:after="0"/>
        <w:textAlignment w:val="baseline"/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</w:pP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□ ‘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건이강이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 xml:space="preserve"> 스케일업(Scale-Up) 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>액셀러레이팅</w:t>
      </w:r>
      <w:r>
        <w:rPr>
          <w:rFonts w:asciiTheme="majorHAnsi" w:eastAsiaTheme="majorHAnsi" w:hAnsiTheme="majorHAnsi" w:cs="굴림"/>
          <w:b/>
          <w:bCs/>
          <w:sz w:val="26"/>
          <w:szCs w:val="26"/>
          <w:kern w:val="0"/>
        </w:rPr>
        <w:t xml:space="preserve"> 프로그램’ 주요 내용</w:t>
      </w:r>
    </w:p>
    <w:p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sz w:val="12"/>
          <w:szCs w:val="12"/>
          <w:kern w:val="0"/>
        </w:rPr>
      </w:pPr>
    </w:p>
    <w:p>
      <w:pPr>
        <w:pStyle w:val="a8"/>
        <w:ind w:leftChars="0"/>
        <w:wordWrap/>
        <w:numPr>
          <w:ilvl w:val="0"/>
          <w:numId w:val="1"/>
        </w:numPr>
        <w:spacing w:after="0" w:line="360" w:lineRule="auto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b/>
          <w:bCs/>
          <w:sz w:val="22"/>
          <w:kern w:val="0"/>
        </w:rPr>
        <w:t>프로그램 목적</w:t>
      </w:r>
    </w:p>
    <w:p>
      <w:pPr>
        <w:pStyle w:val="a3"/>
        <w:numPr>
          <w:ilvl w:val="0"/>
          <w:numId w:val="2"/>
        </w:numPr>
        <w:spacing w:line="360" w:lineRule="auto"/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</w:pP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보건·복지·환경 분야 사회적경제조직(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소셜벤처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, 사회적기업 등) 발굴 및 육성</w:t>
      </w:r>
    </w:p>
    <w:p>
      <w:pPr>
        <w:pStyle w:val="a3"/>
        <w:numPr>
          <w:ilvl w:val="0"/>
          <w:numId w:val="2"/>
        </w:numPr>
        <w:spacing w:line="360" w:lineRule="auto"/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</w:pP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보건·복지·환경 분야 사회적경제조직 비즈니스 스케일업</w:t>
      </w:r>
    </w:p>
    <w:p>
      <w:pPr>
        <w:pStyle w:val="a3"/>
        <w:numPr>
          <w:ilvl w:val="0"/>
          <w:numId w:val="2"/>
        </w:numPr>
        <w:spacing w:line="360" w:lineRule="auto"/>
        <w:rPr>
          <w:rFonts w:asciiTheme="majorHAnsi" w:eastAsiaTheme="majorHAnsi" w:hAnsiTheme="majorHAnsi"/>
          <w:sz w:val="22"/>
        </w:rPr>
      </w:pP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우수 보건·복지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>·환경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  <w:t xml:space="preserve"> 분야 사회적경제조직 투자 연계</w:t>
      </w:r>
    </w:p>
    <w:p>
      <w:pPr>
        <w:pStyle w:val="a8"/>
        <w:ind w:leftChars="0"/>
        <w:wordWrap/>
        <w:numPr>
          <w:ilvl w:val="0"/>
          <w:numId w:val="1"/>
        </w:numPr>
        <w:spacing w:after="0" w:line="360" w:lineRule="auto"/>
        <w:textAlignment w:val="baseline"/>
        <w:rPr>
          <w:rFonts w:asciiTheme="majorHAnsi" w:eastAsiaTheme="majorHAnsi" w:hAnsiTheme="majorHAnsi" w:cs="굴림"/>
          <w:b/>
          <w:bCs/>
          <w:sz w:val="22"/>
          <w:kern w:val="0"/>
        </w:rPr>
      </w:pPr>
      <w:r>
        <w:rPr>
          <w:rFonts w:asciiTheme="majorHAnsi" w:eastAsiaTheme="majorHAnsi" w:hAnsiTheme="majorHAnsi" w:cs="굴림"/>
          <w:b/>
          <w:bCs/>
          <w:sz w:val="22"/>
          <w:kern w:val="0"/>
        </w:rPr>
        <w:t>지원분야 :</w:t>
      </w:r>
      <w:r>
        <w:rPr>
          <w:rFonts w:asciiTheme="majorHAnsi" w:eastAsiaTheme="majorHAnsi" w:hAnsiTheme="majorHAnsi" w:cs="굴림"/>
          <w:b/>
          <w:bCs/>
          <w:sz w:val="22"/>
          <w:kern w:val="0"/>
        </w:rPr>
        <w:t xml:space="preserve"> 보건·복지·환경 분야</w:t>
      </w:r>
    </w:p>
    <w:p>
      <w:pPr>
        <w:pStyle w:val="a8"/>
        <w:ind w:leftChars="0"/>
        <w:wordWrap/>
        <w:numPr>
          <w:ilvl w:val="0"/>
          <w:numId w:val="3"/>
        </w:numPr>
        <w:spacing w:after="0" w:line="360" w:lineRule="auto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>보건분야 :</w:t>
      </w:r>
      <w:r>
        <w:rPr>
          <w:rFonts w:asciiTheme="majorHAnsi" w:eastAsiaTheme="majorHAnsi" w:hAnsiTheme="majorHAnsi" w:cs="굴림"/>
          <w:sz w:val="22"/>
          <w:kern w:val="0"/>
        </w:rPr>
        <w:t xml:space="preserve"> 바이오, 의약품, 의료기기, 헬스케어(의료서비스), 의료시스템 등 보건 관련 분야</w:t>
      </w:r>
    </w:p>
    <w:p>
      <w:pPr>
        <w:pStyle w:val="a8"/>
        <w:ind w:leftChars="0"/>
        <w:wordWrap/>
        <w:numPr>
          <w:ilvl w:val="0"/>
          <w:numId w:val="3"/>
        </w:numPr>
        <w:spacing w:after="0" w:line="360" w:lineRule="auto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>복지분야 :</w:t>
      </w:r>
      <w:r>
        <w:rPr>
          <w:rFonts w:asciiTheme="majorHAnsi" w:eastAsiaTheme="majorHAnsi" w:hAnsiTheme="majorHAnsi" w:cs="굴림"/>
          <w:sz w:val="22"/>
          <w:kern w:val="0"/>
        </w:rPr>
        <w:t xml:space="preserve"> 돌봄·요양서비스, 교육·문화복지 등 복지 관련 분야</w:t>
      </w:r>
    </w:p>
    <w:p>
      <w:pPr>
        <w:pStyle w:val="a8"/>
        <w:ind w:leftChars="0"/>
        <w:wordWrap/>
        <w:numPr>
          <w:ilvl w:val="0"/>
          <w:numId w:val="3"/>
        </w:numPr>
        <w:spacing w:after="0" w:line="360" w:lineRule="auto"/>
        <w:textAlignment w:val="baseline"/>
        <w:rPr>
          <w:rFonts w:asciiTheme="majorHAnsi" w:eastAsiaTheme="majorHAnsi" w:hAnsiTheme="majorHAnsi" w:cs="굴림"/>
          <w:sz w:val="22"/>
          <w:kern w:val="0"/>
        </w:rPr>
      </w:pPr>
      <w:r>
        <w:rPr>
          <w:rFonts w:asciiTheme="majorHAnsi" w:eastAsiaTheme="majorHAnsi" w:hAnsiTheme="majorHAnsi" w:cs="굴림"/>
          <w:sz w:val="22"/>
          <w:kern w:val="0"/>
        </w:rPr>
        <w:t>환경분야 :</w:t>
      </w:r>
      <w:r>
        <w:rPr>
          <w:rFonts w:asciiTheme="majorHAnsi" w:eastAsiaTheme="majorHAnsi" w:hAnsiTheme="majorHAnsi" w:cs="굴림"/>
          <w:sz w:val="22"/>
          <w:kern w:val="0"/>
        </w:rPr>
        <w:t xml:space="preserve"> 탄소감축, 녹색생태계, </w:t>
      </w:r>
      <w:r>
        <w:rPr>
          <w:rFonts w:asciiTheme="majorHAnsi" w:eastAsiaTheme="majorHAnsi" w:hAnsiTheme="majorHAnsi" w:cs="굴림"/>
          <w:sz w:val="22"/>
          <w:kern w:val="0"/>
        </w:rPr>
        <w:t>물관리</w:t>
      </w:r>
      <w:r>
        <w:rPr>
          <w:rFonts w:asciiTheme="majorHAnsi" w:eastAsiaTheme="majorHAnsi" w:hAnsiTheme="majorHAnsi" w:cs="굴림"/>
          <w:sz w:val="22"/>
          <w:kern w:val="0"/>
        </w:rPr>
        <w:t xml:space="preserve">, 자원순환, </w:t>
      </w:r>
      <w:r>
        <w:rPr>
          <w:rFonts w:asciiTheme="majorHAnsi" w:eastAsiaTheme="majorHAnsi" w:hAnsiTheme="majorHAnsi" w:cs="굴림"/>
          <w:sz w:val="22"/>
          <w:kern w:val="0"/>
        </w:rPr>
        <w:t>그린모빌리티</w:t>
      </w:r>
      <w:r>
        <w:rPr>
          <w:rFonts w:asciiTheme="majorHAnsi" w:eastAsiaTheme="majorHAnsi" w:hAnsiTheme="majorHAnsi" w:cs="굴림"/>
          <w:sz w:val="22"/>
          <w:kern w:val="0"/>
        </w:rPr>
        <w:t>, 제로에너지, 신재생에너지 등 환경 관련 분야</w:t>
      </w: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12"/>
          <w:szCs w:val="1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지원대상</w:t>
      </w:r>
    </w:p>
    <w:p>
      <w:pPr>
        <w:pStyle w:val="a8"/>
        <w:ind w:leftChars="0"/>
        <w:wordWrap/>
        <w:jc w:val="left"/>
        <w:numPr>
          <w:ilvl w:val="0"/>
          <w:numId w:val="3"/>
        </w:numPr>
        <w:spacing w:after="0" w:line="360" w:lineRule="auto"/>
        <w:textAlignment w:val="baseline"/>
        <w:rPr>
          <w:rFonts w:asciiTheme="majorHAnsi" w:eastAsiaTheme="majorHAnsi" w:hAnsiTheme="majorHAnsi"/>
          <w:sz w:val="22"/>
        </w:rPr>
      </w:pPr>
      <w:r>
        <w:rPr>
          <w:rFonts w:asciiTheme="majorHAnsi" w:eastAsiaTheme="majorHAnsi" w:hAnsiTheme="majorHAnsi" w:cs="바탕"/>
          <w:sz w:val="22"/>
          <w:spacing w:val="-6"/>
        </w:rPr>
        <w:t>비즈니스</w:t>
      </w:r>
      <w:r>
        <w:rPr>
          <w:rFonts w:asciiTheme="majorHAnsi" w:eastAsiaTheme="majorHAnsi" w:hAnsiTheme="majorHAnsi"/>
          <w:sz w:val="22"/>
          <w:spacing w:val="-6"/>
        </w:rPr>
        <w:t xml:space="preserve"> </w:t>
      </w:r>
      <w:r>
        <w:rPr>
          <w:rFonts w:asciiTheme="majorHAnsi" w:eastAsiaTheme="majorHAnsi" w:hAnsiTheme="majorHAnsi" w:cs="바탕"/>
          <w:sz w:val="22"/>
          <w:spacing w:val="-6"/>
        </w:rPr>
        <w:t>성장</w:t>
      </w:r>
      <w:r>
        <w:rPr>
          <w:rFonts w:asciiTheme="majorHAnsi" w:eastAsiaTheme="majorHAnsi" w:hAnsiTheme="majorHAnsi"/>
          <w:sz w:val="22"/>
          <w:spacing w:val="-6"/>
        </w:rPr>
        <w:t xml:space="preserve"> </w:t>
      </w:r>
      <w:r>
        <w:rPr>
          <w:rFonts w:asciiTheme="majorHAnsi" w:eastAsiaTheme="majorHAnsi" w:hAnsiTheme="majorHAnsi" w:cs="바탕"/>
          <w:sz w:val="22"/>
          <w:spacing w:val="-6"/>
        </w:rPr>
        <w:t>잠재성, 지속성과</w:t>
      </w:r>
      <w:r>
        <w:rPr>
          <w:rFonts w:asciiTheme="majorHAnsi" w:eastAsiaTheme="majorHAnsi" w:hAnsiTheme="majorHAnsi"/>
          <w:sz w:val="22"/>
          <w:spacing w:val="-6"/>
        </w:rPr>
        <w:t xml:space="preserve"> </w:t>
      </w:r>
      <w:r>
        <w:rPr>
          <w:rFonts w:asciiTheme="majorHAnsi" w:eastAsiaTheme="majorHAnsi" w:hAnsiTheme="majorHAnsi" w:cs="바탕"/>
          <w:sz w:val="22"/>
          <w:spacing w:val="-6"/>
        </w:rPr>
        <w:t>소셜임팩트를</w:t>
      </w:r>
      <w:r>
        <w:rPr>
          <w:rFonts w:asciiTheme="majorHAnsi" w:eastAsiaTheme="majorHAnsi" w:hAnsiTheme="majorHAnsi"/>
          <w:sz w:val="22"/>
          <w:spacing w:val="-6"/>
        </w:rPr>
        <w:t xml:space="preserve"> 모두 </w:t>
      </w:r>
      <w:r>
        <w:rPr>
          <w:rFonts w:asciiTheme="majorHAnsi" w:eastAsiaTheme="majorHAnsi" w:hAnsiTheme="majorHAnsi" w:cs="바탕"/>
          <w:sz w:val="22"/>
          <w:spacing w:val="-6"/>
        </w:rPr>
        <w:t>보유한</w:t>
      </w:r>
      <w:r>
        <w:rPr>
          <w:rFonts w:asciiTheme="majorHAnsi" w:eastAsiaTheme="majorHAnsi" w:hAnsiTheme="majorHAnsi" w:cs="굴림"/>
          <w:sz w:val="22"/>
        </w:rPr>
        <w:t xml:space="preserve"> 설립</w:t>
      </w:r>
      <w:r>
        <w:rPr>
          <w:rFonts w:asciiTheme="majorHAnsi" w:eastAsiaTheme="majorHAnsi" w:hAnsiTheme="majorHAnsi"/>
          <w:sz w:val="22"/>
        </w:rPr>
        <w:t xml:space="preserve"> 7</w:t>
      </w:r>
      <w:r>
        <w:rPr>
          <w:rFonts w:asciiTheme="majorHAnsi" w:eastAsiaTheme="majorHAnsi" w:hAnsiTheme="majorHAnsi" w:cs="굴림"/>
          <w:sz w:val="22"/>
        </w:rPr>
        <w:t>년</w:t>
      </w:r>
      <w:r>
        <w:rPr>
          <w:rFonts w:asciiTheme="majorHAnsi" w:eastAsiaTheme="majorHAnsi" w:hAnsiTheme="majorHAnsi"/>
          <w:sz w:val="22"/>
        </w:rPr>
        <w:t xml:space="preserve"> </w:t>
      </w:r>
      <w:r>
        <w:rPr>
          <w:rFonts w:asciiTheme="majorHAnsi" w:eastAsiaTheme="majorHAnsi" w:hAnsiTheme="majorHAnsi" w:cs="굴림"/>
          <w:sz w:val="22"/>
        </w:rPr>
        <w:t>이하의</w:t>
      </w:r>
      <w:r>
        <w:rPr>
          <w:rFonts w:asciiTheme="majorHAnsi" w:eastAsiaTheme="majorHAnsi" w:hAnsiTheme="majorHAnsi"/>
          <w:sz w:val="22"/>
        </w:rPr>
        <w:t xml:space="preserve"> </w:t>
      </w:r>
      <w:r>
        <w:rPr>
          <w:rFonts w:asciiTheme="majorHAnsi" w:eastAsiaTheme="majorHAnsi" w:hAnsiTheme="majorHAnsi" w:cs="굴림"/>
          <w:sz w:val="22"/>
        </w:rPr>
        <w:t>보건</w:t>
      </w:r>
      <w:r>
        <w:rPr>
          <w:rFonts w:asciiTheme="majorHAnsi" w:eastAsiaTheme="majorHAnsi" w:hAnsiTheme="majorHAnsi"/>
          <w:sz w:val="22"/>
        </w:rPr>
        <w:t>·</w:t>
      </w:r>
      <w:r>
        <w:rPr>
          <w:rFonts w:asciiTheme="majorHAnsi" w:eastAsiaTheme="majorHAnsi" w:hAnsiTheme="majorHAnsi" w:cs="굴림"/>
          <w:sz w:val="22"/>
        </w:rPr>
        <w:t>복지</w:t>
      </w:r>
      <w:r>
        <w:rPr>
          <w:rFonts w:asciiTheme="majorHAnsi" w:eastAsiaTheme="majorHAnsi" w:hAnsiTheme="majorHAnsi"/>
          <w:sz w:val="22"/>
        </w:rPr>
        <w:t>·</w:t>
      </w:r>
      <w:r>
        <w:rPr>
          <w:rFonts w:asciiTheme="majorHAnsi" w:eastAsiaTheme="majorHAnsi" w:hAnsiTheme="majorHAnsi" w:cs="굴림"/>
          <w:sz w:val="22"/>
        </w:rPr>
        <w:t>환경</w:t>
      </w:r>
      <w:r>
        <w:rPr>
          <w:rFonts w:asciiTheme="majorHAnsi" w:eastAsiaTheme="majorHAnsi" w:hAnsiTheme="majorHAnsi"/>
          <w:sz w:val="22"/>
        </w:rPr>
        <w:t xml:space="preserve"> </w:t>
      </w:r>
      <w:r>
        <w:rPr>
          <w:rFonts w:asciiTheme="majorHAnsi" w:eastAsiaTheme="majorHAnsi" w:hAnsiTheme="majorHAnsi" w:cs="굴림"/>
          <w:sz w:val="22"/>
        </w:rPr>
        <w:t>분야</w:t>
      </w:r>
      <w:r>
        <w:rPr>
          <w:rFonts w:asciiTheme="majorHAnsi" w:eastAsiaTheme="majorHAnsi" w:hAnsiTheme="majorHAnsi"/>
          <w:sz w:val="22"/>
        </w:rPr>
        <w:t xml:space="preserve"> </w:t>
      </w:r>
      <w:r>
        <w:rPr>
          <w:rFonts w:asciiTheme="majorHAnsi" w:eastAsiaTheme="majorHAnsi" w:hAnsiTheme="majorHAnsi" w:cs="굴림"/>
          <w:sz w:val="22"/>
        </w:rPr>
        <w:t>사회적경제조직</w:t>
      </w:r>
      <w:r>
        <w:rPr>
          <w:rFonts w:asciiTheme="majorHAnsi" w:eastAsiaTheme="majorHAnsi" w:hAnsiTheme="majorHAnsi" w:cs="굴림"/>
          <w:sz w:val="22"/>
        </w:rPr>
        <w:br/>
      </w:r>
      <w:r>
        <w:rPr>
          <w:rFonts w:asciiTheme="majorHAnsi" w:eastAsiaTheme="majorHAnsi" w:hAnsiTheme="majorHAnsi"/>
          <w:szCs w:val="20"/>
        </w:rPr>
        <w:t>(</w:t>
      </w:r>
      <w:r>
        <w:rPr>
          <w:rFonts w:asciiTheme="majorHAnsi" w:eastAsiaTheme="majorHAnsi" w:hAnsiTheme="majorHAnsi" w:cs="굴림"/>
          <w:szCs w:val="20"/>
        </w:rPr>
        <w:t>소셜벤처</w:t>
      </w:r>
      <w:r>
        <w:rPr>
          <w:rFonts w:asciiTheme="majorHAnsi" w:eastAsiaTheme="majorHAnsi" w:hAnsiTheme="majorHAnsi" w:cs="굴림"/>
          <w:szCs w:val="20"/>
        </w:rPr>
        <w:t>,</w:t>
      </w:r>
      <w:r>
        <w:rPr>
          <w:rFonts w:asciiTheme="majorHAnsi" w:eastAsiaTheme="majorHAnsi" w:hAnsiTheme="majorHAnsi" w:cs="굴림"/>
          <w:szCs w:val="20"/>
        </w:rPr>
        <w:t xml:space="preserve"> </w:t>
      </w:r>
      <w:r>
        <w:rPr>
          <w:rFonts w:asciiTheme="majorHAnsi" w:eastAsiaTheme="majorHAnsi" w:hAnsiTheme="majorHAnsi"/>
          <w:szCs w:val="20"/>
        </w:rPr>
        <w:t>(</w:t>
      </w:r>
      <w:r>
        <w:rPr>
          <w:rFonts w:asciiTheme="majorHAnsi" w:eastAsiaTheme="majorHAnsi" w:hAnsiTheme="majorHAnsi" w:cs="굴림"/>
          <w:szCs w:val="20"/>
        </w:rPr>
        <w:t>예비</w:t>
      </w:r>
      <w:r>
        <w:rPr>
          <w:rFonts w:asciiTheme="majorHAnsi" w:eastAsiaTheme="majorHAnsi" w:hAnsiTheme="majorHAnsi"/>
          <w:szCs w:val="20"/>
        </w:rPr>
        <w:t>)</w:t>
      </w:r>
      <w:r>
        <w:rPr>
          <w:rFonts w:asciiTheme="majorHAnsi" w:eastAsiaTheme="majorHAnsi" w:hAnsiTheme="majorHAnsi" w:cs="굴림"/>
          <w:szCs w:val="20"/>
        </w:rPr>
        <w:t>사회적기업</w:t>
      </w:r>
      <w:r>
        <w:rPr>
          <w:rFonts w:asciiTheme="majorHAnsi" w:eastAsiaTheme="majorHAnsi" w:hAnsiTheme="majorHAnsi"/>
          <w:szCs w:val="20"/>
        </w:rPr>
        <w:t>,</w:t>
      </w:r>
      <w:r>
        <w:rPr>
          <w:rFonts w:asciiTheme="majorHAnsi" w:eastAsiaTheme="majorHAnsi" w:hAnsiTheme="majorHAnsi"/>
          <w:szCs w:val="20"/>
          <w:spacing w:val="-10"/>
        </w:rPr>
        <w:t xml:space="preserve"> </w:t>
      </w:r>
      <w:r>
        <w:rPr>
          <w:rFonts w:asciiTheme="majorHAnsi" w:eastAsiaTheme="majorHAnsi" w:hAnsiTheme="majorHAnsi"/>
          <w:szCs w:val="20"/>
          <w:spacing w:val="-12"/>
        </w:rPr>
        <w:t>(</w:t>
      </w:r>
      <w:r>
        <w:rPr>
          <w:rFonts w:asciiTheme="majorHAnsi" w:eastAsiaTheme="majorHAnsi" w:hAnsiTheme="majorHAnsi" w:cs="바탕"/>
          <w:szCs w:val="20"/>
          <w:spacing w:val="-12"/>
        </w:rPr>
        <w:t>사회적</w:t>
      </w:r>
      <w:r>
        <w:rPr>
          <w:rFonts w:asciiTheme="majorHAnsi" w:eastAsiaTheme="majorHAnsi" w:hAnsiTheme="majorHAnsi"/>
          <w:szCs w:val="20"/>
          <w:spacing w:val="-12"/>
        </w:rPr>
        <w:t>)</w:t>
      </w:r>
      <w:r>
        <w:rPr>
          <w:rFonts w:asciiTheme="majorHAnsi" w:eastAsiaTheme="majorHAnsi" w:hAnsiTheme="majorHAnsi" w:cs="바탕"/>
          <w:szCs w:val="20"/>
          <w:spacing w:val="-12"/>
        </w:rPr>
        <w:t>협동</w:t>
      </w:r>
      <w:r>
        <w:rPr>
          <w:rFonts w:asciiTheme="majorHAnsi" w:eastAsiaTheme="majorHAnsi" w:hAnsiTheme="majorHAnsi" w:cs="바탕"/>
          <w:szCs w:val="20"/>
          <w:spacing w:val="-8"/>
        </w:rPr>
        <w:t>조합</w:t>
      </w:r>
      <w:r>
        <w:rPr>
          <w:rFonts w:asciiTheme="majorHAnsi" w:eastAsiaTheme="majorHAnsi" w:hAnsiTheme="majorHAnsi"/>
          <w:szCs w:val="20"/>
          <w:spacing w:val="-8"/>
        </w:rPr>
        <w:t xml:space="preserve">, </w:t>
      </w:r>
      <w:r>
        <w:rPr>
          <w:rFonts w:asciiTheme="majorHAnsi" w:eastAsiaTheme="majorHAnsi" w:hAnsiTheme="majorHAnsi" w:cs="바탕"/>
          <w:szCs w:val="20"/>
          <w:spacing w:val="-8"/>
        </w:rPr>
        <w:t>마을기업</w:t>
      </w:r>
      <w:r>
        <w:rPr>
          <w:rFonts w:asciiTheme="majorHAnsi" w:eastAsiaTheme="majorHAnsi" w:hAnsiTheme="majorHAnsi"/>
          <w:szCs w:val="20"/>
          <w:spacing w:val="-8"/>
        </w:rPr>
        <w:t xml:space="preserve">, </w:t>
      </w:r>
      <w:r>
        <w:rPr>
          <w:rFonts w:asciiTheme="majorHAnsi" w:eastAsiaTheme="majorHAnsi" w:hAnsiTheme="majorHAnsi" w:cs="바탕"/>
          <w:szCs w:val="20"/>
          <w:spacing w:val="-8"/>
        </w:rPr>
        <w:t>자활기업</w:t>
      </w:r>
      <w:r>
        <w:rPr>
          <w:rFonts w:asciiTheme="majorHAnsi" w:eastAsiaTheme="majorHAnsi" w:hAnsiTheme="majorHAnsi"/>
          <w:szCs w:val="20"/>
          <w:spacing w:val="-8"/>
        </w:rPr>
        <w:t xml:space="preserve"> </w:t>
      </w:r>
      <w:r>
        <w:rPr>
          <w:rFonts w:asciiTheme="majorHAnsi" w:eastAsiaTheme="majorHAnsi" w:hAnsiTheme="majorHAnsi" w:cs="바탕"/>
          <w:szCs w:val="20"/>
          <w:spacing w:val="-8"/>
        </w:rPr>
        <w:t>등</w:t>
      </w:r>
      <w:r>
        <w:rPr>
          <w:rFonts w:asciiTheme="majorHAnsi" w:eastAsiaTheme="majorHAnsi" w:hAnsiTheme="majorHAnsi"/>
          <w:szCs w:val="20"/>
          <w:spacing w:val="-8"/>
        </w:rPr>
        <w:t xml:space="preserve"> </w:t>
      </w:r>
      <w:r>
        <w:rPr>
          <w:rFonts w:asciiTheme="majorHAnsi" w:eastAsiaTheme="majorHAnsi" w:hAnsiTheme="majorHAnsi" w:cs="바탕"/>
          <w:szCs w:val="20"/>
          <w:spacing w:val="-8"/>
        </w:rPr>
        <w:t>법인사업자</w:t>
      </w:r>
      <w:r>
        <w:rPr>
          <w:rFonts w:asciiTheme="majorHAnsi" w:eastAsiaTheme="majorHAnsi" w:hAnsiTheme="majorHAnsi"/>
          <w:szCs w:val="20"/>
          <w:spacing w:val="-8"/>
        </w:rPr>
        <w:t>)</w:t>
      </w:r>
      <w:r>
        <w:rPr>
          <w:rFonts w:asciiTheme="majorHAnsi" w:eastAsiaTheme="majorHAnsi" w:hAnsiTheme="majorHAnsi"/>
          <w:sz w:val="22"/>
          <w:spacing w:val="-8"/>
        </w:rPr>
        <w:br/>
      </w:r>
      <w:r>
        <w:rPr>
          <w:rFonts w:asciiTheme="majorHAnsi" w:eastAsiaTheme="majorHAnsi" w:hAnsiTheme="majorHAnsi"/>
          <w:sz w:val="22"/>
          <w:spacing w:val="-8"/>
        </w:rPr>
        <w:t>*개인사업자 지원불가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12"/>
          <w:szCs w:val="1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선정기관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총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8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개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기관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 w:cs="바탕"/>
          <w:b/>
          <w:bCs/>
          <w:color w:val="auto"/>
          <w:sz w:val="12"/>
          <w:szCs w:val="1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지원내용</w:t>
      </w:r>
    </w:p>
    <w:p>
      <w:pPr>
        <w:pStyle w:val="a3"/>
        <w:numPr>
          <w:ilvl w:val="0"/>
          <w:numId w:val="4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성장지원금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  <w:spacing w:val="-4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선정기관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사업지원금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총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4,000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만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원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지원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총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8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개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팀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, 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각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500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만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>원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>)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18"/>
          <w:szCs w:val="18"/>
        </w:rPr>
      </w:pP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-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총 1억 5천만원의 임팩트투자</w:t>
      </w:r>
      <w:r>
        <w:rPr>
          <w:rFonts w:asciiTheme="majorHAnsi" w:eastAsiaTheme="majorHAnsi" w:hAnsiTheme="majorHAnsi"/>
          <w:color w:val="auto"/>
          <w:sz w:val="22"/>
          <w:szCs w:val="22"/>
          <w:spacing w:val="-38"/>
        </w:rPr>
        <w:t>(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Top3, 각 5,000만원) </w:t>
      </w:r>
      <w:r>
        <w:rPr>
          <w:rFonts w:asciiTheme="majorHAnsi" w:eastAsiaTheme="majorHAnsi" w:hAnsiTheme="majorHAnsi"/>
          <w:color w:val="auto"/>
          <w:w w:val="90"/>
          <w:sz w:val="18"/>
          <w:szCs w:val="18"/>
        </w:rPr>
        <w:t xml:space="preserve">* 임팩트 투자 </w:t>
      </w:r>
      <w:r>
        <w:rPr>
          <w:rFonts w:asciiTheme="majorHAnsi" w:eastAsiaTheme="majorHAnsi" w:hAnsiTheme="majorHAnsi"/>
          <w:color w:val="auto"/>
          <w:w w:val="90"/>
          <w:sz w:val="18"/>
          <w:szCs w:val="18"/>
        </w:rPr>
        <w:t>데모데이</w:t>
      </w:r>
      <w:r>
        <w:rPr>
          <w:rFonts w:asciiTheme="majorHAnsi" w:eastAsiaTheme="majorHAnsi" w:hAnsiTheme="majorHAnsi"/>
          <w:color w:val="auto"/>
          <w:w w:val="90"/>
          <w:sz w:val="18"/>
          <w:szCs w:val="18"/>
        </w:rPr>
        <w:t xml:space="preserve"> 평가 후 지원</w:t>
      </w:r>
    </w:p>
    <w:p>
      <w:pPr>
        <w:pStyle w:val="a3"/>
        <w:numPr>
          <w:ilvl w:val="0"/>
          <w:numId w:val="4"/>
        </w:numPr>
        <w:spacing w:line="360" w:lineRule="auto"/>
        <w:rPr>
          <w:rFonts w:asciiTheme="majorHAnsi" w:eastAsiaTheme="majorHAnsi" w:hAnsiTheme="majorHAnsi"/>
          <w:b/>
          <w:bCs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엑셀러레이팅</w:t>
      </w: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       -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심화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경영진단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기업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별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1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회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)</w:t>
      </w: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       -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기업가치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고도화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컨설팅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기업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별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2∼3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회)</w:t>
      </w:r>
      <w:r>
        <w:rPr>
          <w:rFonts w:asciiTheme="majorHAnsi" w:eastAsiaTheme="majorHAnsi" w:hAnsiTheme="majorHAnsi" w:cs="바탕"/>
          <w:color w:val="auto"/>
          <w:sz w:val="22"/>
          <w:szCs w:val="22"/>
          <w:spacing w:val="-4"/>
        </w:rPr>
        <w:t xml:space="preserve">,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자기설계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전문분야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멘토링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기업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별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5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회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)</w:t>
      </w: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  <w:spacing w:val="-4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       - 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IR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  <w:spacing w:val="-4"/>
        </w:rPr>
        <w:t>(Investor Relations)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멘토링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기업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별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3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회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),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피칭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코칭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(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기업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별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 xml:space="preserve"> 2</w:t>
      </w:r>
      <w:r>
        <w:rPr>
          <w:rFonts w:asciiTheme="majorHAnsi" w:eastAsiaTheme="majorHAnsi" w:hAnsiTheme="majorHAnsi" w:cs="바탕"/>
          <w:color w:val="auto"/>
          <w:sz w:val="18"/>
          <w:szCs w:val="18"/>
          <w:spacing w:val="-4"/>
        </w:rPr>
        <w:t>회</w:t>
      </w:r>
      <w:r>
        <w:rPr>
          <w:rFonts w:asciiTheme="majorHAnsi" w:eastAsiaTheme="majorHAnsi" w:hAnsiTheme="majorHAnsi"/>
          <w:color w:val="auto"/>
          <w:sz w:val="18"/>
          <w:szCs w:val="18"/>
          <w:spacing w:val="-4"/>
        </w:rPr>
        <w:t>)</w:t>
      </w:r>
      <w:r>
        <w:rPr>
          <w:rFonts w:asciiTheme="majorHAnsi" w:eastAsiaTheme="majorHAnsi" w:hAnsiTheme="majorHAnsi"/>
          <w:color w:val="auto"/>
          <w:sz w:val="22"/>
          <w:szCs w:val="22"/>
          <w:spacing w:val="-4"/>
        </w:rPr>
        <w:t xml:space="preserve"> </w:t>
      </w:r>
    </w:p>
    <w:p>
      <w:pPr>
        <w:pStyle w:val="a3"/>
        <w:numPr>
          <w:ilvl w:val="0"/>
          <w:numId w:val="4"/>
        </w:numPr>
        <w:spacing w:line="360" w:lineRule="auto"/>
        <w:rPr>
          <w:rFonts w:ascii="맑은 고딕" w:eastAsia="맑은 고딕" w:hAnsi="맑은 고딕"/>
          <w:color w:val="auto"/>
          <w:sz w:val="22"/>
          <w:szCs w:val="22"/>
          <w:spacing w:val="-20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성장지원패키지 :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</w:rPr>
        <w:t>판로개척 지원</w:t>
      </w:r>
      <w:r>
        <w:rPr>
          <w:rFonts w:ascii="맑은 고딕" w:eastAsia="맑은 고딕" w:hAnsi="맑은 고딕" w:cs="바탕"/>
          <w:b/>
          <w:bCs/>
          <w:color w:val="auto"/>
          <w:sz w:val="22"/>
          <w:szCs w:val="22"/>
        </w:rPr>
        <w:t xml:space="preserve">,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</w:rPr>
        <w:t>홍보</w:t>
      </w:r>
      <w:r>
        <w:rPr>
          <w:rFonts w:ascii="맑은 고딕" w:eastAsia="맑은 고딕" w:hAnsi="맑은 고딕" w:cs="바탕"/>
          <w:b/>
          <w:bCs/>
          <w:color w:val="auto"/>
          <w:sz w:val="22"/>
          <w:szCs w:val="22"/>
        </w:rPr>
        <w:t>·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</w:rPr>
        <w:t>마케팅</w:t>
      </w:r>
      <w:r>
        <w:rPr>
          <w:rFonts w:ascii="맑은 고딕" w:eastAsia="맑은 고딕" w:hAnsi="맑은 고딕" w:cs="바탕"/>
          <w:b/>
          <w:bCs/>
          <w:color w:val="auto"/>
          <w:sz w:val="22"/>
          <w:szCs w:val="22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</w:rPr>
        <w:t>지원</w:t>
      </w:r>
      <w:r>
        <w:rPr>
          <w:rFonts w:ascii="맑은 고딕" w:eastAsia="맑은 고딕" w:hAnsi="맑은 고딕" w:cs="바탕"/>
          <w:b/>
          <w:bCs/>
          <w:color w:val="auto"/>
          <w:sz w:val="22"/>
          <w:szCs w:val="22"/>
        </w:rPr>
        <w:t xml:space="preserve">,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0"/>
        </w:rPr>
        <w:t>기타 지원 프로그램</w:t>
      </w:r>
      <w:r>
        <w:rPr>
          <w:rFonts w:ascii="맑은 고딕" w:eastAsia="맑은 고딕" w:hAnsi="맑은 고딕" w:hint="eastAsia"/>
          <w:b/>
          <w:bCs/>
          <w:color w:val="auto"/>
          <w:sz w:val="22"/>
          <w:szCs w:val="22"/>
          <w:spacing w:val="-20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0"/>
        </w:rPr>
        <w:t>연계</w:t>
      </w:r>
      <w:r>
        <w:rPr>
          <w:rFonts w:ascii="맑은 고딕" w:eastAsia="맑은 고딕" w:hAnsi="맑은 고딕" w:hint="eastAsia"/>
          <w:b/>
          <w:bCs/>
          <w:color w:val="auto"/>
          <w:sz w:val="22"/>
          <w:szCs w:val="22"/>
          <w:spacing w:val="-20"/>
        </w:rPr>
        <w:t xml:space="preserve"> </w:t>
      </w:r>
      <w:r>
        <w:rPr>
          <w:rFonts w:ascii="맑은 고딕" w:eastAsia="맑은 고딕" w:hAnsi="맑은 고딕" w:cs="바탕" w:hint="eastAsia"/>
          <w:color w:val="auto"/>
          <w:sz w:val="22"/>
          <w:szCs w:val="22"/>
          <w:spacing w:val="-20"/>
        </w:rPr>
        <w:t>등</w:t>
      </w:r>
    </w:p>
    <w:p>
      <w:pPr>
        <w:pStyle w:val="a3"/>
        <w:numPr>
          <w:ilvl w:val="0"/>
          <w:numId w:val="4"/>
        </w:numPr>
        <w:spacing w:line="360" w:lineRule="auto"/>
        <w:rPr>
          <w:rFonts w:asciiTheme="majorHAnsi" w:eastAsiaTheme="majorHAnsi" w:hAnsiTheme="majorHAnsi" w:cs="바탕"/>
          <w:color w:val="auto"/>
          <w:sz w:val="22"/>
          <w:szCs w:val="22"/>
          <w:spacing w:val="-6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임팩트투자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데모데이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  <w:spacing w:val="-6"/>
        </w:rPr>
        <w:t>최대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  <w:spacing w:val="-6"/>
        </w:rPr>
        <w:t xml:space="preserve"> </w:t>
      </w:r>
      <w:r>
        <w:rPr>
          <w:rFonts w:ascii="맑은 고딕" w:eastAsia="맑은 고딕" w:hAnsi="맑은 고딕"/>
          <w:b/>
          <w:bCs/>
          <w:color w:val="auto"/>
          <w:sz w:val="22"/>
          <w:szCs w:val="22"/>
          <w:spacing w:val="-26"/>
        </w:rPr>
        <w:t>30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인의</w:t>
      </w:r>
      <w:r>
        <w:rPr>
          <w:rFonts w:ascii="맑은 고딕" w:eastAsia="맑은 고딕" w:hAnsi="맑은 고딕" w:hint="eastAsia"/>
          <w:b/>
          <w:bCs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투자자</w:t>
      </w:r>
      <w:r>
        <w:rPr>
          <w:rFonts w:ascii="맑은 고딕" w:eastAsia="맑은 고딕" w:hAnsi="맑은 고딕"/>
          <w:b/>
          <w:bCs/>
          <w:color w:val="auto"/>
          <w:sz w:val="22"/>
          <w:szCs w:val="22"/>
          <w:spacing w:val="-26"/>
        </w:rPr>
        <w:t>·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전문</w:t>
      </w:r>
      <w:r>
        <w:rPr>
          <w:rFonts w:ascii="맑은 고딕" w:eastAsia="맑은 고딕" w:hAnsi="맑은 고딕" w:hint="eastAsia"/>
          <w:b/>
          <w:bCs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평가사</w:t>
      </w:r>
      <w:r>
        <w:rPr>
          <w:rFonts w:ascii="맑은 고딕" w:eastAsia="맑은 고딕" w:hAnsi="맑은 고딕"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color w:val="auto"/>
          <w:sz w:val="22"/>
          <w:szCs w:val="22"/>
          <w:spacing w:val="-26"/>
        </w:rPr>
        <w:t>대상</w:t>
      </w:r>
      <w:r>
        <w:rPr>
          <w:rFonts w:ascii="맑은 고딕" w:eastAsia="맑은 고딕" w:hAnsi="맑은 고딕" w:hint="eastAsia"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테이블</w:t>
      </w:r>
      <w:r>
        <w:rPr>
          <w:rFonts w:ascii="맑은 고딕" w:eastAsia="맑은 고딕" w:hAnsi="맑은 고딕" w:hint="eastAsia"/>
          <w:b/>
          <w:bCs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미팅</w:t>
      </w:r>
      <w:r>
        <w:rPr>
          <w:rFonts w:ascii="맑은 고딕" w:eastAsia="맑은 고딕" w:hAnsi="맑은 고딕"/>
          <w:b/>
          <w:bCs/>
          <w:color w:val="auto"/>
          <w:sz w:val="22"/>
          <w:szCs w:val="22"/>
          <w:spacing w:val="-26"/>
        </w:rPr>
        <w:t xml:space="preserve">, IR </w:t>
      </w:r>
      <w:r>
        <w:rPr>
          <w:rFonts w:ascii="맑은 고딕" w:eastAsia="맑은 고딕" w:hAnsi="맑은 고딕" w:cs="바탕" w:hint="eastAsia"/>
          <w:b/>
          <w:bCs/>
          <w:color w:val="auto"/>
          <w:sz w:val="22"/>
          <w:szCs w:val="22"/>
          <w:spacing w:val="-26"/>
        </w:rPr>
        <w:t>기회</w:t>
      </w:r>
      <w:r>
        <w:rPr>
          <w:rFonts w:ascii="맑은 고딕" w:eastAsia="맑은 고딕" w:hAnsi="맑은 고딕"/>
          <w:color w:val="auto"/>
          <w:sz w:val="22"/>
          <w:szCs w:val="22"/>
          <w:spacing w:val="-26"/>
        </w:rPr>
        <w:t xml:space="preserve"> </w:t>
      </w:r>
      <w:r>
        <w:rPr>
          <w:rFonts w:ascii="맑은 고딕" w:eastAsia="맑은 고딕" w:hAnsi="맑은 고딕" w:cs="바탕" w:hint="eastAsia"/>
          <w:color w:val="auto"/>
          <w:sz w:val="22"/>
          <w:szCs w:val="22"/>
          <w:spacing w:val="-26"/>
        </w:rPr>
        <w:t>제공</w:t>
      </w:r>
    </w:p>
    <w:p>
      <w:pPr>
        <w:pStyle w:val="a3"/>
        <w:ind w:left="1120"/>
        <w:spacing w:line="276" w:lineRule="auto"/>
        <w:rPr>
          <w:rFonts w:asciiTheme="majorHAnsi" w:eastAsiaTheme="majorHAnsi" w:hAnsiTheme="majorHAnsi"/>
          <w:color w:val="auto"/>
          <w:sz w:val="12"/>
          <w:szCs w:val="12"/>
        </w:rPr>
      </w:pPr>
    </w:p>
    <w:p>
      <w:pPr>
        <w:pStyle w:val="a3"/>
        <w:numPr>
          <w:ilvl w:val="0"/>
          <w:numId w:val="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공모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및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심사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·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선발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일정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2"/>
        <w:gridCol w:w="384"/>
        <w:gridCol w:w="1813"/>
        <w:gridCol w:w="384"/>
        <w:gridCol w:w="1788"/>
        <w:gridCol w:w="384"/>
        <w:gridCol w:w="1910"/>
      </w:tblGrid>
      <w:tr>
        <w:trPr>
          <w:jc w:val="right"/>
          <w:trHeight w:val="293" w:hRule="atLeast"/>
        </w:trPr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접수신청</w:t>
            </w:r>
          </w:p>
        </w:tc>
        <w:tc>
          <w:tcPr>
            <w:tcW w:w="384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서류심사 결과발표</w:t>
            </w:r>
          </w:p>
        </w:tc>
        <w:tc>
          <w:tcPr>
            <w:tcW w:w="384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대면심사(PT)</w:t>
            </w:r>
          </w:p>
        </w:tc>
        <w:tc>
          <w:tcPr>
            <w:tcW w:w="384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6"/>
              </w:rPr>
              <w:t>최종 선정기관 발표</w:t>
            </w:r>
          </w:p>
        </w:tc>
      </w:tr>
      <w:tr>
        <w:trPr>
          <w:jc w:val="right"/>
          <w:trHeight w:val="272" w:hRule="atLeast"/>
        </w:trPr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pacing w:val="-8"/>
              </w:rPr>
              <w:t>3.28-4.22.13:00까지</w:t>
            </w:r>
          </w:p>
        </w:tc>
        <w:tc>
          <w:tcPr>
            <w:tcW w:w="384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z w:val="22"/>
                <w:szCs w:val="22"/>
                <w:spacing w:val="-24"/>
              </w:rPr>
              <w:t>4.29. 예정</w:t>
            </w:r>
          </w:p>
        </w:tc>
        <w:tc>
          <w:tcPr>
            <w:tcW w:w="384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z w:val="22"/>
                <w:szCs w:val="22"/>
                <w:spacing w:val="-24"/>
              </w:rPr>
              <w:t>5월 초 예정</w:t>
            </w:r>
          </w:p>
        </w:tc>
        <w:tc>
          <w:tcPr>
            <w:tcW w:w="384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z w:val="22"/>
                <w:szCs w:val="22"/>
                <w:spacing w:val="-20"/>
              </w:rPr>
              <w:t>5월 중순 예정</w:t>
            </w:r>
          </w:p>
        </w:tc>
      </w:tr>
    </w:tbl>
    <w:p>
      <w:pPr>
        <w:autoSpaceDE/>
        <w:autoSpaceDN/>
        <w:widowControl/>
        <w:wordWrap/>
        <w:rPr>
          <w:rFonts w:asciiTheme="majorHAnsi" w:eastAsiaTheme="majorHAnsi" w:hAnsiTheme="majorHAnsi" w:cs="바탕"/>
          <w:b/>
          <w:bCs/>
          <w:sz w:val="12"/>
          <w:szCs w:val="12"/>
          <w:kern w:val="0"/>
        </w:rPr>
      </w:pPr>
    </w:p>
    <w:p>
      <w:pPr>
        <w:pStyle w:val="a3"/>
        <w:numPr>
          <w:ilvl w:val="0"/>
          <w:numId w:val="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선정기관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지원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일정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2"/>
        <w:gridCol w:w="385"/>
        <w:gridCol w:w="1371"/>
        <w:gridCol w:w="385"/>
        <w:gridCol w:w="1485"/>
        <w:gridCol w:w="385"/>
        <w:gridCol w:w="1453"/>
        <w:gridCol w:w="385"/>
        <w:gridCol w:w="1322"/>
      </w:tblGrid>
      <w:tr>
        <w:trPr>
          <w:jc w:val="right"/>
          <w:trHeight w:val="620" w:hRule="atLeast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심화 경영진단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  <w:w w:val="80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w w:val="80"/>
                <w:spacing w:val="-20"/>
              </w:rPr>
              <w:t xml:space="preserve">지원금 전달식 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w w:val="80"/>
                <w:spacing w:val="-36"/>
              </w:rPr>
              <w:t>및 킥오프 워크숍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엑셀러레이팅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 xml:space="preserve">임팩트투자 </w:t>
            </w: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데모데이</w:t>
            </w: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 xml:space="preserve"> 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⇒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Top3 선발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및 투자</w:t>
            </w:r>
          </w:p>
        </w:tc>
      </w:tr>
      <w:tr>
        <w:trPr>
          <w:jc w:val="right"/>
          <w:trHeight w:val="390" w:hRule="atLeast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5월 중</w:t>
            </w:r>
          </w:p>
        </w:tc>
        <w:tc>
          <w:tcPr>
            <w:tcW w:w="385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5월 말 예정</w:t>
            </w:r>
          </w:p>
        </w:tc>
        <w:tc>
          <w:tcPr>
            <w:tcW w:w="385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6월-10월</w:t>
            </w:r>
          </w:p>
        </w:tc>
        <w:tc>
          <w:tcPr>
            <w:tcW w:w="385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z w:val="19"/>
                <w:szCs w:val="19"/>
                <w:spacing w:val="-20"/>
              </w:rPr>
              <w:t>10월 말-11월 초</w:t>
            </w:r>
          </w:p>
        </w:tc>
        <w:tc>
          <w:tcPr>
            <w:tcW w:w="385" w:type="dxa"/>
            <w:vMerge w:val="continue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0"/>
              </w:rPr>
              <w:t>12월 예정</w:t>
            </w:r>
          </w:p>
        </w:tc>
      </w:tr>
    </w:tbl>
    <w:p>
      <w:pPr>
        <w:pStyle w:val="a3"/>
        <w:tabs>
          <w:tab w:val="left" w:pos="4987"/>
        </w:tabs>
        <w:spacing w:line="276" w:lineRule="auto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ab/>
      </w:r>
    </w:p>
    <w:p>
      <w:pPr>
        <w:pStyle w:val="a3"/>
        <w:numPr>
          <w:ilvl w:val="0"/>
          <w:numId w:val="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심사기준</w:t>
      </w:r>
    </w:p>
    <w:tbl>
      <w:tblPr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9"/>
        <w:gridCol w:w="6247"/>
        <w:gridCol w:w="983"/>
      </w:tblGrid>
      <w:tr>
        <w:trPr>
          <w:jc w:val="right"/>
          <w:trHeight w:val="276" w:hRule="atLeast"/>
        </w:trPr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구분</w:t>
            </w:r>
          </w:p>
        </w:tc>
        <w:tc>
          <w:tcPr>
            <w:tcW w:w="6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평가항목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spacing w:val="-20"/>
              </w:rPr>
              <w:t>배점</w:t>
            </w:r>
          </w:p>
        </w:tc>
      </w:tr>
      <w:tr>
        <w:trPr>
          <w:jc w:val="right"/>
          <w:trHeight w:val="276" w:hRule="atLeast"/>
        </w:trPr>
        <w:tc>
          <w:tcPr>
            <w:tcW w:w="7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총계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100</w:t>
            </w:r>
          </w:p>
        </w:tc>
      </w:tr>
      <w:tr>
        <w:trPr>
          <w:jc w:val="right"/>
          <w:trHeight w:val="563" w:hRule="atLeast"/>
        </w:trPr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조직역량</w:t>
            </w:r>
          </w:p>
        </w:tc>
        <w:tc>
          <w:tcPr>
            <w:tcW w:w="6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ind w:left="294" w:hanging="294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○ 핵심 기술력(5), 대표 및 경영진 전문성(10), 매출 및 매출증가율(10), 영업이익 및 영업이익 증가율(5)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30</w:t>
            </w:r>
          </w:p>
        </w:tc>
      </w:tr>
      <w:tr>
        <w:trPr>
          <w:jc w:val="right"/>
          <w:trHeight w:val="278" w:hRule="atLeast"/>
        </w:trPr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사업타당성</w:t>
            </w:r>
          </w:p>
        </w:tc>
        <w:tc>
          <w:tcPr>
            <w:tcW w:w="6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ind w:left="342" w:hanging="342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○ 해외진출가능성(5), 실현가능성(10), 수익성(10), 시장성(5), 사업모델 경쟁력(10)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40</w:t>
            </w:r>
          </w:p>
        </w:tc>
      </w:tr>
      <w:tr>
        <w:trPr>
          <w:jc w:val="right"/>
          <w:trHeight w:val="278" w:hRule="atLeast"/>
        </w:trPr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사회적가치</w:t>
            </w:r>
          </w:p>
        </w:tc>
        <w:tc>
          <w:tcPr>
            <w:tcW w:w="6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 xml:space="preserve">○ </w:t>
            </w:r>
            <w:r>
              <w:rPr>
                <w:rFonts w:asciiTheme="majorHAnsi" w:eastAsiaTheme="majorHAnsi" w:hAnsiTheme="majorHAnsi"/>
                <w:color w:val="auto"/>
                <w:spacing w:val="-24"/>
              </w:rPr>
              <w:t>확산성</w:t>
            </w:r>
            <w:r>
              <w:rPr>
                <w:rFonts w:asciiTheme="majorHAnsi" w:eastAsiaTheme="majorHAnsi" w:hAnsiTheme="majorHAnsi"/>
                <w:color w:val="auto"/>
                <w:spacing w:val="-24"/>
              </w:rPr>
              <w:t xml:space="preserve">(10), </w:t>
            </w:r>
            <w:r>
              <w:rPr>
                <w:rFonts w:asciiTheme="majorHAnsi" w:eastAsiaTheme="majorHAnsi" w:hAnsiTheme="majorHAnsi"/>
                <w:color w:val="auto"/>
                <w:spacing w:val="-24"/>
              </w:rPr>
              <w:t>혁신성</w:t>
            </w:r>
            <w:r>
              <w:rPr>
                <w:rFonts w:asciiTheme="majorHAnsi" w:eastAsiaTheme="majorHAnsi" w:hAnsiTheme="majorHAnsi"/>
                <w:color w:val="auto"/>
                <w:spacing w:val="-24"/>
              </w:rPr>
              <w:t>(10), 사업동기 및 문제해결 의지(10)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wordWrap/>
              <w:jc w:val="center"/>
              <w:spacing w:line="276" w:lineRule="auto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</w:rPr>
              <w:t>30</w:t>
            </w:r>
          </w:p>
        </w:tc>
      </w:tr>
    </w:tbl>
    <w:p>
      <w:pPr>
        <w:pStyle w:val="a3"/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numPr>
          <w:ilvl w:val="0"/>
          <w:numId w:val="1"/>
        </w:numPr>
        <w:spacing w:line="276" w:lineRule="auto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 xml:space="preserve">제출서류 </w:t>
      </w:r>
    </w:p>
    <w:tbl>
      <w:tblPr>
        <w:tblpPr w:vertAnchor="text" w:horzAnchor="text" w:tblpXSpec="right" w:tblpYSpec="top"/>
        <w:tblOverlap w:val="never"/>
        <w:tblW w:w="0" w:type="auto"/>
        <w:tblLook w:val="04A0" w:firstRow="1" w:lastRow="0" w:firstColumn="1" w:lastColumn="0" w:noHBand="0" w:noVBand="1"/>
        <w:jc w:val="righ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3"/>
        <w:gridCol w:w="1949"/>
        <w:gridCol w:w="927"/>
        <w:gridCol w:w="4750"/>
      </w:tblGrid>
      <w:tr>
        <w:trPr>
          <w:jc w:val="right"/>
          <w:trHeight w:val="276" w:hRule="atLeast"/>
        </w:trPr>
        <w:tc>
          <w:tcPr>
            <w:tcW w:w="98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구분</w:t>
            </w: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서류명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부수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비고</w:t>
            </w:r>
          </w:p>
        </w:tc>
      </w:tr>
      <w:tr>
        <w:trPr>
          <w:jc w:val="right"/>
          <w:trHeight w:val="276" w:hRule="atLeast"/>
        </w:trPr>
        <w:tc>
          <w:tcPr>
            <w:tcW w:w="983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기본 서류</w:t>
            </w: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참가신청서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○ [첨부1] 참조</w:t>
            </w:r>
          </w:p>
        </w:tc>
      </w:tr>
      <w:tr>
        <w:trPr>
          <w:jc w:val="right"/>
          <w:trHeight w:val="276" w:hRule="atLeast"/>
        </w:trPr>
        <w:tc>
          <w:tcPr>
            <w:tcW w:w="983" w:type="dxa"/>
            <w:vMerge w:val="continue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사업제안서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○ [첨부1] 참조, 별도 파일(PDF)로 제출</w:t>
            </w:r>
          </w:p>
        </w:tc>
      </w:tr>
      <w:tr>
        <w:trPr>
          <w:jc w:val="right"/>
          <w:trHeight w:val="276" w:hRule="atLeast"/>
        </w:trPr>
        <w:tc>
          <w:tcPr>
            <w:tcW w:w="983" w:type="dxa"/>
            <w:vMerge w:val="continue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개인정보동의서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○ [첨부2] 참조</w:t>
            </w:r>
          </w:p>
        </w:tc>
      </w:tr>
      <w:tr>
        <w:trPr>
          <w:jc w:val="right"/>
          <w:trHeight w:val="276" w:hRule="atLeast"/>
        </w:trPr>
        <w:tc>
          <w:tcPr>
            <w:tcW w:w="983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기업 증빙</w:t>
            </w: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사업자등록증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</w:p>
        </w:tc>
      </w:tr>
      <w:tr>
        <w:trPr>
          <w:jc w:val="right"/>
          <w:trHeight w:val="276" w:hRule="atLeast"/>
        </w:trPr>
        <w:tc>
          <w:tcPr>
            <w:tcW w:w="983" w:type="dxa"/>
            <w:vMerge w:val="continue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중소기업확인서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  <w:tr>
        <w:trPr>
          <w:jc w:val="right"/>
          <w:trHeight w:val="563" w:hRule="atLeast"/>
        </w:trPr>
        <w:tc>
          <w:tcPr>
            <w:tcW w:w="983" w:type="dxa"/>
            <w:vMerge w:val="continue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>
            <w:pPr>
              <w:rPr>
                <w:rFonts w:asciiTheme="majorHAnsi" w:eastAsiaTheme="majorHAnsi" w:hAnsiTheme="majorHAnsi" w:cs="굴림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최근 3개년 재무제표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각 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 xml:space="preserve">○ </w:t>
            </w: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비교식</w:t>
            </w: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 xml:space="preserve"> 재무제표 제출</w:t>
            </w:r>
          </w:p>
          <w:p>
            <w:pPr>
              <w:pStyle w:val="12"/>
              <w:ind w:left="0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- 업력 3년 미만인 경우 설립 이후 분 제출</w:t>
            </w:r>
          </w:p>
        </w:tc>
      </w:tr>
      <w:tr>
        <w:trPr>
          <w:jc w:val="right"/>
          <w:trHeight w:val="563" w:hRule="atLeast"/>
        </w:trPr>
        <w:tc>
          <w:tcPr>
            <w:tcW w:w="98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b/>
                <w:bCs/>
                <w:color w:val="auto"/>
                <w:kern w:val="0"/>
                <w:spacing w:val="-20"/>
              </w:rPr>
              <w:t>기타</w:t>
            </w:r>
          </w:p>
        </w:tc>
        <w:tc>
          <w:tcPr>
            <w:tcW w:w="194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기타 추가자료 제출</w:t>
            </w:r>
          </w:p>
        </w:tc>
        <w:tc>
          <w:tcPr>
            <w:tcW w:w="92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2"/>
              <w:ind w:left="0"/>
              <w:wordWrap/>
              <w:snapToGrid w:val="0"/>
              <w:jc w:val="center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각 1부</w:t>
            </w:r>
          </w:p>
        </w:tc>
        <w:tc>
          <w:tcPr>
            <w:tcW w:w="475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13"/>
              <w:snapToGrid w:val="0"/>
              <w:spacing w:after="0"/>
              <w:rPr>
                <w:rFonts w:asciiTheme="majorHAnsi" w:eastAsiaTheme="majorHAnsi" w:hAnsiTheme="majorHAnsi"/>
                <w:color w:val="auto"/>
              </w:rPr>
            </w:pP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○ 신청서 내용 증빙자료</w:t>
            </w:r>
            <w:r>
              <w:rPr>
                <w:rFonts w:asciiTheme="majorHAnsi" w:eastAsiaTheme="majorHAnsi" w:hAnsiTheme="majorHAnsi"/>
                <w:color w:val="auto"/>
              </w:rPr>
              <w:br/>
            </w:r>
            <w:r>
              <w:rPr>
                <w:rFonts w:asciiTheme="majorHAnsi" w:eastAsiaTheme="majorHAnsi" w:hAnsiTheme="majorHAnsi"/>
                <w:color w:val="auto"/>
                <w:kern w:val="0"/>
                <w:spacing w:val="-24"/>
              </w:rPr>
              <w:t>- 수상·인증 내역, 전문기술 보유 등</w:t>
            </w:r>
          </w:p>
        </w:tc>
      </w:tr>
    </w:tbl>
    <w:p>
      <w:pPr>
        <w:pStyle w:val="a3"/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제출방법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구글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독스</w:t>
      </w:r>
      <w:r>
        <w:rPr>
          <w:rFonts w:asciiTheme="majorHAnsi" w:eastAsiaTheme="majorHAnsi" w:hAnsiTheme="majorHAnsi"/>
          <w:color w:val="auto"/>
          <w:sz w:val="22"/>
          <w:szCs w:val="22"/>
        </w:rPr>
        <w:t>(</w:t>
      </w:r>
      <w:r>
        <w:rPr>
          <w:rFonts w:asciiTheme="majorHAnsi" w:eastAsiaTheme="majorHAnsi" w:hAnsiTheme="majorHAnsi"/>
          <w:color w:val="auto"/>
          <w:sz w:val="22"/>
          <w:szCs w:val="22"/>
        </w:rPr>
        <w:fldChar w:fldCharType="begin"/>
      </w:r>
      <w:r>
        <w:rPr>
          <w:rFonts w:asciiTheme="majorHAnsi" w:eastAsiaTheme="majorHAnsi" w:hAnsiTheme="majorHAnsi"/>
          <w:color w:val="auto"/>
          <w:sz w:val="22"/>
          <w:szCs w:val="22"/>
        </w:rPr>
        <w:instrText xml:space="preserve"> HYPERLINK "http://bit.ly/건이강이" </w:instrText>
      </w:r>
      <w:r>
        <w:rPr>
          <w:rFonts w:asciiTheme="majorHAnsi" w:eastAsiaTheme="majorHAnsi" w:hAnsiTheme="majorHAnsi"/>
          <w:color w:val="auto"/>
          <w:sz w:val="22"/>
          <w:szCs w:val="22"/>
        </w:rPr>
        <w:fldChar w:fldCharType="separate"/>
      </w:r>
      <w:r>
        <w:rPr>
          <w:rStyle w:val="a6"/>
          <w:rFonts w:asciiTheme="majorHAnsi" w:eastAsiaTheme="majorHAnsi" w:hAnsiTheme="majorHAnsi"/>
          <w:color w:val="auto"/>
          <w:sz w:val="22"/>
          <w:szCs w:val="22"/>
          <w:u w:color="800080"/>
        </w:rPr>
        <w:t>http://bit.ly/</w:t>
      </w:r>
      <w:r>
        <w:rPr>
          <w:rStyle w:val="a6"/>
          <w:rFonts w:asciiTheme="majorHAnsi" w:eastAsiaTheme="majorHAnsi" w:hAnsiTheme="majorHAnsi" w:cs="바탕"/>
          <w:color w:val="auto"/>
          <w:sz w:val="22"/>
          <w:szCs w:val="22"/>
          <w:u w:color="800080"/>
        </w:rPr>
        <w:t>건이강이</w:t>
      </w:r>
      <w:r>
        <w:rPr>
          <w:rStyle w:val="a6"/>
          <w:rFonts w:asciiTheme="majorHAnsi" w:eastAsiaTheme="majorHAnsi" w:hAnsiTheme="majorHAnsi"/>
          <w:color w:val="auto"/>
          <w:sz w:val="22"/>
          <w:szCs w:val="22"/>
          <w:u w:color="800080"/>
        </w:rPr>
        <w:t>)</w:t>
      </w:r>
      <w:r>
        <w:rPr>
          <w:rStyle w:val="a6"/>
          <w:rFonts w:asciiTheme="majorHAnsi" w:eastAsiaTheme="majorHAnsi" w:hAnsiTheme="majorHAnsi"/>
          <w:color w:val="auto"/>
          <w:sz w:val="22"/>
          <w:szCs w:val="22"/>
          <w:u w:color="800080"/>
        </w:rPr>
        <w:fldChar w:fldCharType="end"/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로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제출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주최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·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주관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주최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국민건강보험공단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주관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한국사회복지협의회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,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한국사회투자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</w:p>
    <w:p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>
      <w:pPr>
        <w:pStyle w:val="a3"/>
        <w:numPr>
          <w:ilvl w:val="0"/>
          <w:numId w:val="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  <w:t>문의</w:t>
      </w:r>
      <w:r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건이강이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스케일업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(Scale-Up)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액셀러레이팅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프로그램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관련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문의는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전화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,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이메일을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통해서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가능합니다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. 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이메일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/>
          <w:color w:val="auto"/>
          <w:sz w:val="22"/>
          <w:szCs w:val="22"/>
        </w:rPr>
        <w:fldChar w:fldCharType="begin"/>
      </w:r>
      <w:r>
        <w:rPr>
          <w:rFonts w:asciiTheme="majorHAnsi" w:eastAsiaTheme="majorHAnsi" w:hAnsiTheme="majorHAnsi"/>
          <w:color w:val="auto"/>
          <w:sz w:val="22"/>
          <w:szCs w:val="22"/>
        </w:rPr>
        <w:instrText xml:space="preserve"> HYPERLINK "mailto:nhisscaleup@gmail.com" </w:instrText>
      </w:r>
      <w:r>
        <w:rPr>
          <w:rFonts w:asciiTheme="majorHAnsi" w:eastAsiaTheme="majorHAnsi" w:hAnsiTheme="majorHAnsi"/>
          <w:color w:val="auto"/>
          <w:sz w:val="22"/>
          <w:szCs w:val="22"/>
        </w:rPr>
        <w:fldChar w:fldCharType="separate"/>
      </w:r>
      <w:r>
        <w:rPr>
          <w:rStyle w:val="a6"/>
          <w:rFonts w:asciiTheme="majorHAnsi" w:eastAsiaTheme="majorHAnsi" w:hAnsiTheme="majorHAnsi"/>
          <w:color w:val="auto"/>
          <w:sz w:val="22"/>
          <w:szCs w:val="22"/>
        </w:rPr>
        <w:t>nhisscaleup@gmail.com</w:t>
      </w:r>
      <w:r>
        <w:rPr>
          <w:rStyle w:val="a6"/>
          <w:rFonts w:asciiTheme="majorHAnsi" w:eastAsiaTheme="majorHAnsi" w:hAnsiTheme="majorHAnsi"/>
          <w:color w:val="auto"/>
          <w:sz w:val="22"/>
          <w:szCs w:val="22"/>
        </w:rPr>
        <w:fldChar w:fldCharType="end"/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연락처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02-2278-7548</w:t>
      </w:r>
    </w:p>
    <w:p>
      <w:pPr>
        <w:pStyle w:val="a3"/>
        <w:ind w:left="760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운영시간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: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평일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오전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9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시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∼ 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오후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6</w:t>
      </w:r>
      <w:r>
        <w:rPr>
          <w:rFonts w:asciiTheme="majorHAnsi" w:eastAsiaTheme="majorHAnsi" w:hAnsiTheme="majorHAnsi" w:cs="바탕"/>
          <w:color w:val="auto"/>
          <w:sz w:val="22"/>
          <w:szCs w:val="22"/>
        </w:rPr>
        <w:t>시</w:t>
      </w:r>
      <w:r>
        <w:rPr>
          <w:rFonts w:asciiTheme="majorHAnsi" w:eastAsiaTheme="majorHAnsi" w:hAnsiTheme="majorHAnsi"/>
          <w:color w:val="auto"/>
          <w:sz w:val="22"/>
          <w:szCs w:val="22"/>
        </w:rPr>
        <w:t xml:space="preserve"> </w:t>
      </w:r>
    </w:p>
    <w:p>
      <w:pPr>
        <w:autoSpaceDE/>
        <w:autoSpaceDN/>
        <w:widowControl/>
        <w:wordWrap/>
        <w:rPr>
          <w:rFonts w:asciiTheme="majorHAnsi" w:eastAsiaTheme="majorHAnsi" w:hAnsiTheme="majorHAnsi" w:cs="굴림"/>
          <w:sz w:val="26"/>
          <w:szCs w:val="26"/>
          <w:kern w:val="0"/>
        </w:rPr>
      </w:pPr>
    </w:p>
    <w:sectPr>
      <w:pgSz w:w="11906" w:h="16838"/>
      <w:pgMar w:top="1701" w:right="1440" w:bottom="1440" w:left="1440" w:header="851" w:footer="992" w:gutter="0"/>
      <w:cols w:space="720"/>
      <w:docGrid w:linePitch="360"/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한양신명조">
    <w:family w:val="roman"/>
    <w:altName w:val="HyhwpEQ"/>
    <w:charset w:val="81"/>
    <w:notTrueType w:val="false"/>
    <w:sig w:usb0="00000000" w:usb1="09060000" w:usb2="00000010" w:usb3="00000000" w:csb0="00080000" w:csb1="00000000"/>
  </w:font>
  <w:font w:name="VWAGTheAntiqua-Regular">
    <w:family w:val="auto"/>
    <w:altName w:val="Times New Roman"/>
    <w:charset w:val="00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e"/>
      <w:jc w:val="center"/>
    </w:pPr>
    <w:r>
      <w:t xml:space="preserve">- </w:t>
    </w:r>
    <w:sdt>
      <w:sdtPr>
        <w:id w:val="-1"/>
        <w:docPartObj>
          <w:docPartGallery w:val="Page Numbers (Bottom of Page)"/>
          <w:docPartUnique/>
        </w:docPartObj>
      </w:sdtPr>
      <w:sdtContent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3</w:t>
        </w:r>
        <w:r>
          <w:fldChar w:fldCharType="end"/>
        </w:r>
        <w:r>
          <w:t xml:space="preserve"> -</w:t>
        </w:r>
      </w:sdtContent>
    </w:sdt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tbl>
    <w:tblPr>
      <w:tblStyle w:val="a9"/>
      <w:tblW w:w="0" w:type="auto"/>
      <w:tblBorders>
        <w:top w:val="none"/>
        <w:left w:val="none"/>
        <w:bottom w:val="none"/>
        <w:right w:val="none"/>
        <w:insideH w:val="none"/>
        <w:insideV w:val="none"/>
      </w:tblBorders>
      <w:tblLook w:val="04A0" w:firstRow="1" w:lastRow="0" w:firstColumn="1" w:lastColumn="0" w:noHBand="0" w:noVBand="1"/>
    </w:tblPr>
    <w:tblGrid>
      <w:gridCol w:w="9016"/>
    </w:tblGrid>
    <w:tr>
      <w:tc>
        <w:tcPr>
          <w:tcW w:w="9016" w:type="dxa"/>
        </w:tcPr>
        <w:p>
          <w:pPr>
            <w:pStyle w:val="a7"/>
            <w:rPr>
              <w:color w:val="000000"/>
              <w:sz w:val="12"/>
            </w:rPr>
          </w:pPr>
          <w:r>
            <w:rPr>
              <w:noProof/>
              <w:color w:val="000000"/>
              <w:sz w:val="12"/>
            </w:rPr>
            <w:drawing>
              <wp:inline distT="0" distB="0" distL="0" distR="0">
                <wp:extent cx="1352670" cy="460523"/>
                <wp:effectExtent l="0" t="0" r="0" b="0"/>
                <wp:docPr id="2049" name="shape2049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 preferRelativeResize="1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670" cy="460523"/>
                        </a:xfrm>
                        <a:prstGeom prst="rect"/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hint="eastAsia"/>
              <w:color w:val="000000"/>
              <w:sz w:val="12"/>
            </w:rPr>
            <w:t xml:space="preserve"> </w:t>
          </w:r>
          <w:r>
            <w:rPr>
              <w:color w:val="000000"/>
              <w:sz w:val="12"/>
            </w:rPr>
            <w:t xml:space="preserve">                     </w:t>
          </w:r>
          <w:r>
            <w:rPr>
              <w:rFonts w:hint="eastAsia"/>
              <w:noProof/>
              <w:color w:val="000000"/>
              <w:sz w:val="12"/>
            </w:rPr>
            <w:drawing>
              <wp:inline distT="0" distB="0" distL="0" distR="0">
                <wp:extent cx="1824956" cy="349305"/>
                <wp:effectExtent l="0" t="0" r="0" b="0"/>
                <wp:docPr id="2050" name="shape2050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 preferRelativeResize="1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4956" cy="349305"/>
                        </a:xfrm>
                        <a:prstGeom prst="rect"/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color w:val="000000"/>
              <w:sz w:val="12"/>
            </w:rPr>
            <w:t xml:space="preserve">   </w:t>
          </w:r>
          <w:r>
            <w:rPr>
              <w:noProof/>
            </w:rPr>
            <w:drawing>
              <wp:inline distT="0" distB="0" distL="0" distR="0">
                <wp:extent cx="1432706" cy="314817"/>
                <wp:effectExtent l="0" t="0" r="0" b="0"/>
                <wp:docPr id="2051" name="shape2051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이미지"/>
                        <pic:cNvPicPr preferRelativeResize="1"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706" cy="314817"/>
                        </a:xfrm>
                        <a:prstGeom prst="rect"/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a7"/>
      <w:rPr>
        <w:color w:val="000000"/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0287d12"/>
    <w:multiLevelType w:val="hybridMultilevel"/>
    <w:tmpl w:val="2750a9a2"/>
    <w:lvl w:ilvl="0" w:tplc="606ee0ea">
      <w:start w:val="1"/>
      <w:lvlText w:val="%1."/>
      <w:lvlJc w:val="left"/>
      <w:pPr>
        <w:ind w:left="760" w:hanging="360"/>
      </w:pPr>
      <w:rPr>
        <w:rFonts w:hint="eastAsia"/>
        <w:b/>
        <w:bCs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ea5e20"/>
    <w:multiLevelType w:val="hybridMultilevel"/>
    <w:tmpl w:val="f3127b3a"/>
    <w:lvl w:ilvl="0" w:tplc="a61aa720">
      <w:start w:val="6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굴림" w:hint="eastAsia"/>
      </w:rPr>
    </w:lvl>
    <w:lvl w:ilvl="1" w:tentative="on" w:tplc="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fb44f1"/>
    <w:multiLevelType w:val="hybridMultilevel"/>
    <w:tmpl w:val="2990fd74"/>
    <w:lvl w:ilvl="0" w:tplc="f95a9c66">
      <w:start w:val="1"/>
      <w:numFmt w:val="bullet"/>
      <w:lvlText w:val=""/>
      <w:lvlJc w:val="left"/>
      <w:pPr>
        <w:ind w:left="1120" w:hanging="360"/>
      </w:pPr>
      <w:rPr>
        <w:rFonts w:ascii="Wingdings" w:hAnsi="Wingdings" w:hint="default"/>
      </w:rPr>
    </w:lvl>
    <w:lvl w:ilvl="1" w:tentative="on" w:tplc="4090019">
      <w:start w:val="1"/>
      <w:numFmt w:val="upperLetter"/>
      <w:lvlText w:val="%2."/>
      <w:lvlJc w:val="left"/>
      <w:pPr>
        <w:ind w:left="1560" w:hanging="400"/>
      </w:pPr>
    </w:lvl>
    <w:lvl w:ilvl="2" w:tentative="on" w:tplc="409001b">
      <w:start w:val="1"/>
      <w:numFmt w:val="lowerRoman"/>
      <w:lvlText w:val="%3."/>
      <w:lvlJc w:val="right"/>
      <w:pPr>
        <w:ind w:left="1960" w:hanging="400"/>
      </w:pPr>
    </w:lvl>
    <w:lvl w:ilvl="3" w:tentative="on" w:tplc="409000f">
      <w:start w:val="1"/>
      <w:lvlText w:val="%4."/>
      <w:lvlJc w:val="left"/>
      <w:pPr>
        <w:ind w:left="2360" w:hanging="400"/>
      </w:pPr>
    </w:lvl>
    <w:lvl w:ilvl="4" w:tentative="on" w:tplc="4090019">
      <w:start w:val="1"/>
      <w:numFmt w:val="upperLetter"/>
      <w:lvlText w:val="%5."/>
      <w:lvlJc w:val="left"/>
      <w:pPr>
        <w:ind w:left="2760" w:hanging="400"/>
      </w:pPr>
    </w:lvl>
    <w:lvl w:ilvl="5" w:tentative="on" w:tplc="409001b">
      <w:start w:val="1"/>
      <w:numFmt w:val="lowerRoman"/>
      <w:lvlText w:val="%6."/>
      <w:lvlJc w:val="right"/>
      <w:pPr>
        <w:ind w:left="3160" w:hanging="400"/>
      </w:pPr>
    </w:lvl>
    <w:lvl w:ilvl="6" w:tentative="on" w:tplc="409000f">
      <w:start w:val="1"/>
      <w:lvlText w:val="%7."/>
      <w:lvlJc w:val="left"/>
      <w:pPr>
        <w:ind w:left="3560" w:hanging="400"/>
      </w:pPr>
    </w:lvl>
    <w:lvl w:ilvl="7" w:tentative="on" w:tplc="4090019">
      <w:start w:val="1"/>
      <w:numFmt w:val="upperLetter"/>
      <w:lvlText w:val="%8."/>
      <w:lvlJc w:val="left"/>
      <w:pPr>
        <w:ind w:left="3960" w:hanging="400"/>
      </w:pPr>
    </w:lvl>
    <w:lvl w:ilvl="8" w:tentative="on" w:tplc="409001b">
      <w:start w:val="1"/>
      <w:numFmt w:val="lowerRoman"/>
      <w:lvlText w:val="%9."/>
      <w:lvlJc w:val="right"/>
      <w:pPr>
        <w:ind w:left="4360" w:hanging="400"/>
      </w:pPr>
    </w:lvl>
  </w:abstractNum>
  <w:abstractNum w:abstractNumId="3">
    <w:nsid w:val="7cc678c7"/>
    <w:multiLevelType w:val="hybridMultilevel"/>
    <w:tmpl w:val="f0440c50"/>
    <w:lvl w:ilvl="0" w:tplc="bafc031a">
      <w:start w:val="1"/>
      <w:numFmt w:val="decimalEnclosedCircle"/>
      <w:lvlText w:val="%1"/>
      <w:lvlJc w:val="left"/>
      <w:pPr>
        <w:ind w:left="1120" w:hanging="360"/>
      </w:pPr>
      <w:rPr>
        <w:rFonts w:cs="바탕" w:hint="default"/>
        <w:sz w:val="22"/>
        <w:szCs w:val="22"/>
      </w:rPr>
    </w:lvl>
    <w:lvl w:ilvl="1" w:tentative="on" w:tplc="4090019">
      <w:start w:val="1"/>
      <w:numFmt w:val="upperLetter"/>
      <w:lvlText w:val="%2."/>
      <w:lvlJc w:val="left"/>
      <w:pPr>
        <w:ind w:left="1560" w:hanging="400"/>
      </w:pPr>
    </w:lvl>
    <w:lvl w:ilvl="2" w:tentative="on" w:tplc="409001b">
      <w:start w:val="1"/>
      <w:numFmt w:val="lowerRoman"/>
      <w:lvlText w:val="%3."/>
      <w:lvlJc w:val="right"/>
      <w:pPr>
        <w:ind w:left="1960" w:hanging="400"/>
      </w:pPr>
    </w:lvl>
    <w:lvl w:ilvl="3" w:tentative="on" w:tplc="409000f">
      <w:start w:val="1"/>
      <w:lvlText w:val="%4."/>
      <w:lvlJc w:val="left"/>
      <w:pPr>
        <w:ind w:left="2360" w:hanging="400"/>
      </w:pPr>
    </w:lvl>
    <w:lvl w:ilvl="4" w:tentative="on" w:tplc="4090019">
      <w:start w:val="1"/>
      <w:numFmt w:val="upperLetter"/>
      <w:lvlText w:val="%5."/>
      <w:lvlJc w:val="left"/>
      <w:pPr>
        <w:ind w:left="2760" w:hanging="400"/>
      </w:pPr>
    </w:lvl>
    <w:lvl w:ilvl="5" w:tentative="on" w:tplc="409001b">
      <w:start w:val="1"/>
      <w:numFmt w:val="lowerRoman"/>
      <w:lvlText w:val="%6."/>
      <w:lvlJc w:val="right"/>
      <w:pPr>
        <w:ind w:left="3160" w:hanging="400"/>
      </w:pPr>
    </w:lvl>
    <w:lvl w:ilvl="6" w:tentative="on" w:tplc="409000f">
      <w:start w:val="1"/>
      <w:lvlText w:val="%7."/>
      <w:lvlJc w:val="left"/>
      <w:pPr>
        <w:ind w:left="3560" w:hanging="400"/>
      </w:pPr>
    </w:lvl>
    <w:lvl w:ilvl="7" w:tentative="on" w:tplc="4090019">
      <w:start w:val="1"/>
      <w:numFmt w:val="upperLetter"/>
      <w:lvlText w:val="%8."/>
      <w:lvlJc w:val="left"/>
      <w:pPr>
        <w:ind w:left="3960" w:hanging="400"/>
      </w:pPr>
    </w:lvl>
    <w:lvl w:ilvl="8" w:tentative="on" w:tplc="409001b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35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336"/>
    <w:lsdException w:name="Light List Accent 1" w:uiPriority="337"/>
    <w:lsdException w:name="Light Grid Accent 1" w:uiPriority="33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336"/>
    <w:lsdException w:name="Light List Accent 2" w:uiPriority="337"/>
    <w:lsdException w:name="Light Grid Accent 2" w:uiPriority="33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336"/>
    <w:lsdException w:name="Light List Accent 3" w:uiPriority="337"/>
    <w:lsdException w:name="Light Grid Accent 3" w:uiPriority="33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336"/>
    <w:lsdException w:name="Light List Accent 4" w:uiPriority="337"/>
    <w:lsdException w:name="Light Grid Accent 4" w:uiPriority="33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336"/>
    <w:lsdException w:name="Light List Accent 5" w:uiPriority="337"/>
    <w:lsdException w:name="Light Grid Accent 5" w:uiPriority="33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336"/>
    <w:lsdException w:name="Light List Accent 6" w:uiPriority="337"/>
    <w:lsdException w:name="Light Grid Accent 6" w:uiPriority="33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본문1"/>
    <w:basedOn w:val="a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sz w:val="31"/>
      <w:szCs w:val="31"/>
      <w:kern w:val="0"/>
    </w:rPr>
  </w:style>
  <w:style w:type="character" w:styleId="a4">
    <w:name w:val="Strong"/>
    <w:uiPriority w:val="22"/>
    <w:basedOn w:val="a0"/>
    <w:qFormat/>
    <w:rPr>
      <w:b/>
      <w:bCs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uiPriority w:val="99"/>
    <w:basedOn w:val="a0"/>
    <w:unhideWhenUsed/>
    <w:rPr>
      <w:b w:val="0"/>
      <w:bCs w:val="0"/>
      <w:i w:val="0"/>
      <w:iCs w:val="0"/>
      <w:strike w:val="off"/>
      <w:color w:val="0000FF"/>
      <w:dstrike w:val="off"/>
      <w:effect w:val="none"/>
      <w:u w:val="none" w:color="auto"/>
    </w:rPr>
  </w:style>
  <w:style w:type="paragraph" w:styleId="a7">
    <w:name w:val="Normal (Web)"/>
    <w:uiPriority w:val="99"/>
    <w:basedOn w:val="a"/>
    <w:unhideWhenUsed/>
    <w:pPr>
      <w:autoSpaceDE/>
      <w:autoSpaceDN/>
      <w:widowControl/>
      <w:wordWrap/>
      <w:jc w:val="left"/>
      <w:spacing w:after="0" w:line="240" w:lineRule="auto"/>
    </w:pPr>
    <w:rPr>
      <w:rFonts w:ascii="굴림" w:eastAsia="굴림" w:hAnsi="굴림" w:cs="굴림"/>
      <w:sz w:val="24"/>
      <w:szCs w:val="24"/>
      <w:kern w:val="0"/>
    </w:r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customStyle="1" w:styleId="h3">
    <w:name w:val="h3"/>
    <w:basedOn w:val="a"/>
    <w:pPr>
      <w:autoSpaceDE/>
      <w:autoSpaceDN/>
      <w:widowControl/>
      <w:wordWrap/>
      <w:jc w:val="left"/>
      <w:spacing w:after="0" w:line="240" w:lineRule="auto"/>
    </w:pPr>
    <w:rPr>
      <w:rFonts w:ascii="VWAGTheAntiqua-Regular" w:eastAsia="굴림" w:hAnsi="VWAGTheAntiqua-Regular" w:cs="굴림"/>
      <w:color w:val="335F7D"/>
      <w:sz w:val="24"/>
      <w:szCs w:val="24"/>
      <w:kern w:val="0"/>
    </w:rPr>
  </w:style>
  <w:style w:type="table" w:styleId="a9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uiPriority w:val="39"/>
    <w:basedOn w:val="a1"/>
    <w:next w:val="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basedOn w:val="a0"/>
    <w:semiHidden/>
    <w:unhideWhenUsed/>
    <w:rPr>
      <w:sz w:val="18"/>
      <w:szCs w:val="18"/>
    </w:rPr>
  </w:style>
  <w:style w:type="paragraph" w:styleId="ab">
    <w:name w:val="annotation text"/>
    <w:uiPriority w:val="99"/>
    <w:basedOn w:val="a"/>
    <w:link w:val="Char0"/>
    <w:semiHidden/>
    <w:unhideWhenUsed/>
    <w:pPr>
      <w:jc w:val="left"/>
    </w:pPr>
  </w:style>
  <w:style w:type="character" w:customStyle="1" w:styleId="Char0">
    <w:name w:val="메모 텍스트 Char"/>
    <w:uiPriority w:val="99"/>
    <w:basedOn w:val="a0"/>
    <w:link w:val="ab"/>
    <w:semiHidden/>
  </w:style>
  <w:style w:type="paragraph" w:styleId="ac">
    <w:name w:val="annotation subject"/>
    <w:uiPriority w:val="99"/>
    <w:basedOn w:val="ab"/>
    <w:next w:val="ab"/>
    <w:link w:val="Char1"/>
    <w:semiHidden/>
    <w:unhideWhenUsed/>
    <w:rPr>
      <w:b/>
      <w:bCs/>
    </w:rPr>
  </w:style>
  <w:style w:type="character" w:customStyle="1" w:styleId="Char1">
    <w:name w:val="메모 주제 Char"/>
    <w:uiPriority w:val="99"/>
    <w:basedOn w:val="Char0"/>
    <w:link w:val="ac"/>
    <w:semiHidden/>
    <w:rPr>
      <w:b/>
      <w:bCs/>
    </w:rPr>
  </w:style>
  <w:style w:type="paragraph" w:styleId="ad">
    <w:name w:val="header"/>
    <w:uiPriority w:val="99"/>
    <w:basedOn w:val="a"/>
    <w:link w:val="Char2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2">
    <w:name w:val="머리글 Char"/>
    <w:uiPriority w:val="99"/>
    <w:basedOn w:val="a0"/>
    <w:link w:val="ad"/>
  </w:style>
  <w:style w:type="paragraph" w:styleId="ae">
    <w:name w:val="foot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바닥글 Char"/>
    <w:uiPriority w:val="99"/>
    <w:basedOn w:val="a0"/>
    <w:link w:val="ae"/>
  </w:style>
  <w:style w:type="paragraph" w:styleId="af">
    <w:name w:val="endnote text"/>
    <w:uiPriority w:val="99"/>
    <w:basedOn w:val="a"/>
    <w:link w:val="Char4"/>
    <w:semiHidden/>
    <w:unhideWhenUsed/>
    <w:pPr>
      <w:snapToGrid w:val="0"/>
      <w:jc w:val="left"/>
    </w:pPr>
  </w:style>
  <w:style w:type="character" w:customStyle="1" w:styleId="Char4">
    <w:name w:val="미주 텍스트 Char"/>
    <w:uiPriority w:val="99"/>
    <w:basedOn w:val="a0"/>
    <w:link w:val="af"/>
    <w:semiHidden/>
  </w:style>
  <w:style w:type="character" w:styleId="af0">
    <w:name w:val="endnote reference"/>
    <w:uiPriority w:val="99"/>
    <w:basedOn w:val="a0"/>
    <w:semiHidden/>
    <w:unhideWhenUsed/>
    <w:rPr>
      <w:vertAlign w:val="superscript"/>
    </w:rPr>
  </w:style>
  <w:style w:type="character" w:customStyle="1" w:styleId="11">
    <w:name w:val="확인되지 않은 멘션1"/>
    <w:uiPriority w:val="99"/>
    <w:basedOn w:val="a0"/>
    <w:semiHidden/>
    <w:unhideWhenUsed/>
    <w:rPr>
      <w:color w:val="605E5C"/>
      <w:shd w:val="clear" w:color="auto" w:fill="E1DFDD"/>
    </w:rPr>
  </w:style>
  <w:style w:type="paragraph" w:customStyle="1" w:styleId="12">
    <w:name w:val="목록 단락1"/>
    <w:basedOn w:val="a"/>
    <w:pPr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13">
    <w:name w:val="표준1"/>
    <w:basedOn w:val="a"/>
    <w:pPr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numbering" Target="numbering.xml" /><Relationship Id="rId8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2022-03-23T11:01:00Z</dcterms:created>
  <dcterms:modified xsi:type="dcterms:W3CDTF">2022-03-23T12:29:47Z</dcterms:modified>
  <cp:lastPrinted>2021-03-08T05:00:00Z</cp:lastPrinted>
  <cp:version>1000.0100.01</cp:version>
</cp:coreProperties>
</file>